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color w:val="000000"/>
          <w:sz w:val="20"/>
        </w:rPr>
        <w:t xml:space="preserve">      </w:t>
        <w:tab/>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120" w:after="120" w:line="360" w:lineRule="auto"/>
        <w:tabs>
          <w:tab w:val="center" w:pos="46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tab/>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竞争性谈判文件</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249"/>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120" w:after="120" w:line="360" w:lineRule="auto"/>
        <w:rPr>
          <w:rFonts w:ascii="Arial" w:hAnsi="Arial" w:eastAsia="Arial" w:cs="Arial"/>
          <w:b/>
          <w:bCs/>
          <w:color w:val="000000"/>
          <w:sz w:val="32"/>
          <w:szCs w:val="32"/>
          <w:u w:val="single"/>
          <w14:ligatures w14: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项目名称：</w:t>
      </w:r>
      <w:r>
        <w:rPr>
          <w:rFonts w:ascii="Arial" w:hAnsi="Arial" w:eastAsia="Arial" w:cs="Arial"/>
          <w:b/>
          <w:bCs/>
          <w:color w:val="000000"/>
          <w:sz w:val="32"/>
          <w:szCs w:val="32"/>
          <w:u w:val="single"/>
        </w:rPr>
        <w:t xml:space="preserve"> </w:t>
      </w:r>
      <w:r>
        <w:rPr>
          <w:rFonts w:ascii="Arial" w:hAnsi="Arial" w:eastAsia="Arial" w:cs="Arial"/>
          <w:b/>
          <w:bCs/>
          <w:color w:val="000000"/>
          <w:sz w:val="32"/>
          <w:szCs w:val="32"/>
          <w:u w:val="single"/>
        </w:rPr>
        <w:t xml:space="preserve">2026年城北街道物业管理服务</w:t>
      </w:r>
      <w:r>
        <w:rPr>
          <w:rFonts w:ascii="Arial" w:hAnsi="Arial" w:eastAsia="Arial" w:cs="Arial"/>
          <w:b/>
          <w:bCs/>
          <w:color w:val="000000"/>
          <w:sz w:val="32"/>
          <w:szCs w:val="32"/>
          <w:u w:val="single"/>
        </w:rPr>
      </w:r>
      <w:r/>
    </w:p>
    <w:p>
      <w:pPr>
        <w:ind w:left="0" w:right="0" w:firstLine="0"/>
        <w:spacing w:before="120" w:after="120" w:line="360" w:lineRule="auto"/>
        <w:rPr>
          <w:rFonts w:ascii="Arial" w:hAnsi="Arial" w:eastAsia="Arial" w:cs="Arial"/>
          <w:b/>
          <w:bCs/>
          <w:color w:val="000000"/>
          <w:sz w:val="32"/>
          <w:szCs w:val="32"/>
          <w14:ligatures w14: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Arial" w:hAnsi="Arial" w:eastAsia="Arial" w:cs="Arial"/>
          <w:b/>
          <w:bCs/>
          <w:color w:val="000000"/>
          <w:sz w:val="32"/>
          <w:szCs w:val="32"/>
          <w:u w:val="single"/>
          <w14:ligatures w14:val="none"/>
        </w:rPr>
      </w:r>
      <w:r/>
    </w:p>
    <w:p>
      <w:pPr>
        <w:ind w:left="0" w:right="0" w:firstLine="0"/>
        <w:spacing w:before="120" w:after="120" w:line="360" w:lineRule="auto"/>
        <w:rPr>
          <w:rFonts w:ascii="Arial" w:hAnsi="Arial" w:eastAsia="Arial" w:cs="Arial"/>
          <w:b/>
          <w:bCs/>
          <w:color w:val="000000"/>
          <w:sz w:val="32"/>
          <w:szCs w:val="32"/>
          <w:u w:val="single"/>
          <w14:ligatures w14: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项目编号：</w:t>
      </w:r>
      <w:r>
        <w:rPr>
          <w:rFonts w:ascii="Arial" w:hAnsi="Arial" w:eastAsia="Arial" w:cs="Arial"/>
          <w:b/>
          <w:bCs/>
          <w:color w:val="000000"/>
          <w:sz w:val="32"/>
          <w:szCs w:val="32"/>
          <w:u w:val="single"/>
        </w:rPr>
        <w:t xml:space="preserve"> </w:t>
      </w:r>
      <w:r>
        <w:rPr>
          <w:rFonts w:ascii="Arial" w:hAnsi="Arial" w:eastAsia="Arial" w:cs="Arial"/>
          <w:b/>
          <w:bCs/>
          <w:color w:val="000000"/>
          <w:sz w:val="32"/>
          <w:szCs w:val="32"/>
          <w:u w:val="single"/>
        </w:rPr>
        <w:t xml:space="preserve">JSZC-321202-JZCG-T2025-0034</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泰州市海陵区政务服务中心</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Arial" w:hAnsi="Arial" w:eastAsia="Arial" w:cs="Arial"/>
          <w:b/>
          <w:color w:val="000000"/>
          <w:sz w:val="32"/>
          <w:u w:val="single"/>
        </w:rPr>
        <w:t xml:space="preserve"> 2025 </w:t>
      </w:r>
      <w:r>
        <w:rPr>
          <w:rFonts w:ascii="SimSun" w:hAnsi="SimSun" w:eastAsia="SimSun" w:cs="SimSun"/>
          <w:b/>
          <w:color w:val="000000"/>
          <w:sz w:val="32"/>
        </w:rPr>
        <w:t xml:space="preserve">年</w:t>
      </w:r>
      <w:r>
        <w:rPr>
          <w:rFonts w:ascii="Arial" w:hAnsi="Arial" w:eastAsia="Arial" w:cs="Arial"/>
          <w:b/>
          <w:color w:val="000000"/>
          <w:sz w:val="32"/>
          <w:u w:val="single"/>
        </w:rPr>
        <w:t xml:space="preserve"> 11</w:t>
      </w:r>
      <w:r>
        <w:rPr>
          <w:rFonts w:ascii="SimSun" w:hAnsi="SimSun" w:eastAsia="SimSun" w:cs="SimSun"/>
          <w:b/>
          <w:color w:val="000000"/>
          <w:sz w:val="32"/>
        </w:rPr>
        <w:t xml:space="preserve"> 月</w:t>
      </w:r>
      <w:r>
        <w:rPr>
          <w:rFonts w:ascii="Arial" w:hAnsi="Arial" w:eastAsia="Arial" w:cs="Arial"/>
          <w:b/>
          <w:bCs/>
          <w:color w:val="000000"/>
          <w:sz w:val="32"/>
          <w:szCs w:val="32"/>
          <w:u w:val="single"/>
        </w:rPr>
        <w:t xml:space="preserve">1</w:t>
      </w:r>
      <w:r>
        <w:rPr>
          <w:rFonts w:ascii="Arial" w:hAnsi="Arial" w:eastAsia="Arial" w:cs="Arial"/>
          <w:b/>
          <w:bCs/>
          <w:color w:val="000000"/>
          <w:sz w:val="32"/>
          <w:szCs w:val="32"/>
          <w:u w:val="single"/>
        </w:rPr>
        <w:t xml:space="preserve">8</w:t>
      </w:r>
      <w:r>
        <w:rPr>
          <w:rFonts w:ascii="SimSun" w:hAnsi="SimSun" w:eastAsia="SimSun" w:cs="SimSun"/>
          <w:b/>
          <w:color w:val="000000"/>
          <w:sz w:val="32"/>
        </w:rPr>
        <w:t xml:space="preserve">日</w:t>
        <w:br w:type="page" w:clear="all"/>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总</w:t>
      </w:r>
      <w:r>
        <w:rPr>
          <w:rFonts w:ascii="SimSun" w:hAnsi="SimSun" w:eastAsia="SimSun" w:cs="SimSun"/>
          <w:b/>
          <w:color w:val="000000"/>
          <w:sz w:val="44"/>
        </w:rPr>
        <w:t xml:space="preserve"> </w:t>
      </w:r>
      <w:r>
        <w:rPr>
          <w:rFonts w:ascii="SimHei" w:hAnsi="SimHei" w:eastAsia="SimHei" w:cs="SimHei"/>
          <w:b/>
          <w:color w:val="000000"/>
          <w:sz w:val="44"/>
        </w:rPr>
        <w:t xml:space="preserve"> 目</w:t>
      </w:r>
      <w:r>
        <w:rPr>
          <w:rFonts w:ascii="SimSun" w:hAnsi="SimSun" w:eastAsia="SimSun" w:cs="SimSun"/>
          <w:b/>
          <w:color w:val="000000"/>
          <w:sz w:val="44"/>
        </w:rPr>
        <w:t xml:space="preserve"> </w:t>
      </w:r>
      <w:r>
        <w:rPr>
          <w:rFonts w:ascii="SimHei" w:hAnsi="SimHei" w:eastAsia="SimHei" w:cs="SimHei"/>
          <w:b/>
          <w:color w:val="000000"/>
          <w:sz w:val="44"/>
        </w:rPr>
        <w:t xml:space="preserve"> 录</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谈判邀请…………………………………</w:t>
      </w:r>
      <w:r/>
    </w:p>
    <w:p>
      <w:pPr>
        <w:numPr>
          <w:ilvl w:val="0"/>
          <w:numId w:val="1"/>
        </w:numPr>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供应商须知………………………………</w:t>
      </w:r>
      <w:r/>
    </w:p>
    <w:p>
      <w:pPr>
        <w:numPr>
          <w:ilvl w:val="0"/>
          <w:numId w:val="1"/>
        </w:numPr>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合同文本…………………………………</w:t>
      </w:r>
      <w:r/>
    </w:p>
    <w:p>
      <w:pPr>
        <w:numPr>
          <w:ilvl w:val="0"/>
          <w:numId w:val="1"/>
        </w:numPr>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采购需求…………………………………</w:t>
      </w:r>
      <w:r/>
    </w:p>
    <w:p>
      <w:pPr>
        <w:numPr>
          <w:ilvl w:val="0"/>
          <w:numId w:val="1"/>
        </w:numPr>
        <w:spacing w:before="0" w:after="0" w:line="360" w:lineRule="auto"/>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响应文件格式……………………………</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tabs>
          <w:tab w:val="left" w:pos="26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0"/>
        </w:rPr>
        <w:tab/>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SimHei" w:hAnsi="SimHei" w:eastAsia="SimHei" w:cs="SimHei"/>
          <w:color w:val="000000"/>
          <w:sz w:val="36"/>
        </w:rPr>
        <w:t xml:space="preserve">第一章</w:t>
      </w:r>
      <w:r>
        <w:rPr>
          <w:rFonts w:ascii="SimSun" w:hAnsi="SimSun" w:eastAsia="SimSun" w:cs="SimSun"/>
          <w:color w:val="000000"/>
          <w:sz w:val="36"/>
        </w:rPr>
        <w:t xml:space="preserve"> </w:t>
      </w:r>
      <w:r>
        <w:rPr>
          <w:rFonts w:ascii="SimHei" w:hAnsi="SimHei" w:eastAsia="SimHei" w:cs="SimHei"/>
          <w:color w:val="000000"/>
          <w:sz w:val="36"/>
        </w:rPr>
        <w:t xml:space="preserve"> 谈判邀请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受[</w:t>
      </w:r>
      <w:r>
        <w:rPr>
          <w:rFonts w:ascii="SimSun" w:hAnsi="SimSun" w:eastAsia="SimSun" w:cs="SimSun"/>
          <w:color w:val="000000"/>
          <w:sz w:val="24"/>
          <w:szCs w:val="24"/>
        </w:rPr>
        <w:t xml:space="preserve">泰州市海陵区人民政府城北街道办事处</w:t>
      </w:r>
      <w:r>
        <w:rPr>
          <w:rFonts w:ascii="SimSun" w:hAnsi="SimSun" w:eastAsia="SimSun" w:cs="SimSun"/>
          <w:color w:val="000000"/>
          <w:sz w:val="24"/>
          <w:szCs w:val="24"/>
        </w:rPr>
        <w:t xml:space="preserve">]的委托，泰州市海陵区政务服务中心就[</w:t>
      </w:r>
      <w:r>
        <w:rPr>
          <w:rFonts w:ascii="SimSun" w:hAnsi="SimSun" w:eastAsia="SimSun" w:cs="SimSun"/>
          <w:color w:val="000000"/>
          <w:sz w:val="24"/>
          <w:szCs w:val="24"/>
        </w:rPr>
        <w:t xml:space="preserve">2026年城北街道物业管理服务</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JSZC-321202-JZCG-T2025-0034</w:t>
      </w:r>
      <w:r>
        <w:rPr>
          <w:rFonts w:ascii="SimSun" w:hAnsi="SimSun" w:eastAsia="SimSun" w:cs="SimSun"/>
          <w:color w:val="000000"/>
          <w:sz w:val="24"/>
          <w:szCs w:val="24"/>
        </w:rPr>
        <w:t xml:space="preserve">])项目进行竞争性谈判采购，欢迎符合条件的供应商参加谈判。</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360" w:lineRule="auto"/>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szCs w:val="24"/>
          <w:u w:val="single"/>
        </w:rPr>
        <w:t xml:space="preserve"> (</w:t>
      </w:r>
      <w:r>
        <w:rPr>
          <w:rFonts w:ascii="SimSun" w:hAnsi="SimSun" w:eastAsia="SimSun" w:cs="SimSun"/>
          <w:color w:val="000000"/>
          <w:sz w:val="24"/>
          <w:szCs w:val="24"/>
          <w:u w:val="single"/>
        </w:rPr>
        <w:t xml:space="preserve">2026年城北街道物业管理服务</w:t>
      </w:r>
      <w:r>
        <w:rPr>
          <w:rFonts w:ascii="SimSun" w:hAnsi="SimSun" w:eastAsia="SimSun" w:cs="SimSun"/>
          <w:color w:val="000000"/>
          <w:sz w:val="24"/>
          <w:szCs w:val="24"/>
          <w:u w:val="single"/>
        </w:rPr>
        <w:t xml:space="preserve">)</w:t>
      </w:r>
      <w:r>
        <w:rPr>
          <w:rFonts w:ascii="SimSun" w:hAnsi="SimSun" w:eastAsia="SimSun" w:cs="SimSun"/>
          <w:color w:val="000000"/>
          <w:sz w:val="24"/>
        </w:rPr>
        <w:t xml:space="preserve">竞争性谈判项目的潜在供应商可在“江苏政府采购网”自行免费下载谈判文件，并于 </w:t>
      </w:r>
      <w:r>
        <w:rPr>
          <w:rFonts w:ascii="SimSun" w:hAnsi="SimSun" w:eastAsia="SimSun" w:cs="SimSun"/>
          <w:color w:val="000000"/>
          <w:sz w:val="24"/>
          <w:u w:val="single"/>
        </w:rPr>
        <w:t xml:space="preserve">2025年11月25日9点00分</w:t>
      </w:r>
      <w:r>
        <w:rPr>
          <w:rFonts w:ascii="SimSun" w:hAnsi="SimSun" w:eastAsia="SimSun" w:cs="SimSun"/>
          <w:color w:val="000000"/>
          <w:sz w:val="24"/>
        </w:rPr>
        <w:t xml:space="preserve">（北京时间）前递交响应文件。</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560"/>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1.项目编号：</w:t>
      </w:r>
      <w:r>
        <w:rPr>
          <w:rFonts w:ascii="SimSun" w:hAnsi="SimSun" w:eastAsia="SimSun" w:cs="SimSun"/>
          <w:color w:val="000000"/>
          <w:sz w:val="24"/>
          <w:szCs w:val="24"/>
        </w:rPr>
        <w:t xml:space="preserve">JSZC-321202-JZCG-T2025-0034</w:t>
      </w:r>
      <w:r>
        <w:rPr>
          <w:rFonts w:ascii="SimSun" w:hAnsi="SimSun" w:eastAsia="SimSun" w:cs="SimSun"/>
          <w:color w:val="000000"/>
          <w:sz w:val="24"/>
          <w:szCs w:val="24"/>
        </w:rPr>
      </w:r>
      <w:r/>
    </w:p>
    <w:p>
      <w:pPr>
        <w:ind w:left="0" w:right="0" w:firstLine="560"/>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2.项目名称：</w:t>
      </w:r>
      <w:r>
        <w:rPr>
          <w:rFonts w:ascii="SimSun" w:hAnsi="SimSun" w:eastAsia="SimSun" w:cs="SimSun"/>
          <w:color w:val="000000"/>
          <w:sz w:val="24"/>
          <w:szCs w:val="24"/>
        </w:rPr>
        <w:t xml:space="preserve">2026年城北街道物业管理服务</w:t>
      </w:r>
      <w:r>
        <w:rPr>
          <w:rFonts w:ascii="SimSun" w:hAnsi="SimSun" w:eastAsia="SimSun" w:cs="SimSun"/>
          <w:color w:val="000000"/>
          <w:sz w:val="24"/>
          <w:szCs w:val="24"/>
        </w:rPr>
      </w:r>
      <w:r/>
    </w:p>
    <w:p>
      <w:pPr>
        <w:ind w:left="0" w:right="0" w:firstLine="560"/>
        <w:spacing w:before="0" w:after="0" w:line="360" w:lineRule="auto"/>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3.预算金额：27.2万元。</w:t>
      </w:r>
      <w:r>
        <w:rPr>
          <w:rFonts w:ascii="SimSun" w:hAnsi="SimSun" w:eastAsia="SimSun" w:cs="SimSun"/>
          <w:color w:val="000000"/>
          <w:sz w:val="24"/>
          <w:szCs w:val="24"/>
        </w:rPr>
      </w:r>
      <w:r/>
    </w:p>
    <w:p>
      <w:pPr>
        <w:ind w:left="0" w:right="0" w:firstLine="420"/>
        <w:jc w:val="both"/>
        <w:spacing w:before="0" w:after="0" w:line="360" w:lineRule="auto"/>
        <w:rPr>
          <w:rFonts w:ascii="Times New Roman" w:hAnsi="Times New Roman" w:eastAsia="Times New Roman" w:cs="Times New Roman"/>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4.采购需求（简介）：</w:t>
      </w:r>
      <w:r>
        <w:rPr>
          <w:rFonts w:ascii="SimSun" w:hAnsi="SimSun" w:eastAsia="SimSun" w:cs="SimSun"/>
          <w:color w:val="000000"/>
          <w:sz w:val="24"/>
        </w:rPr>
        <w:t xml:space="preserve">泰州市海陵区人民政府城北街道办事处办公大楼、老街道办事处辅二楼、城北街道残联办公场所等的保洁卫生工作、大院安保（含门卫管理和车辆引导管理）等工作。总建筑面积约7400㎡。</w:t>
      </w:r>
      <w:r>
        <w:rPr>
          <w:rFonts w:ascii="SimSun" w:hAnsi="SimSun" w:eastAsia="SimSun" w:cs="SimSun"/>
          <w:color w:val="000000"/>
          <w:sz w:val="24"/>
        </w:rPr>
        <w:t xml:space="preserve">（详细内容见本谈判文件第四章）</w:t>
      </w:r>
      <w:r>
        <w:rPr>
          <w:rFonts w:ascii="Times New Roman" w:hAnsi="Times New Roman" w:eastAsia="Times New Roman" w:cs="Times New Roman"/>
          <w:szCs w:val="20"/>
        </w:rPr>
      </w:r>
      <w:r/>
    </w:p>
    <w:p>
      <w:pPr>
        <w:ind w:left="0" w:right="0" w:firstLine="56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5.合同履行期限：合同签订后一年。</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4.联合体参与谈判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本项目不接受联合体参与谈判。</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（二）本项目的特定资格要求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三、获取谈判文件</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1.时间：自谈判文件公告发布之日起至提交响应文件截止之日止。</w:t>
      </w:r>
      <w:r/>
    </w:p>
    <w:p>
      <w:pPr>
        <w:ind w:left="0" w:right="0" w:firstLine="5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2.方式：在“江苏政府采购网”自行免费下载谈判文件。</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2025年11月25日9点00分</w:t>
      </w:r>
      <w:r>
        <w:rPr>
          <w:rFonts w:ascii="SimSun" w:hAnsi="SimSun" w:eastAsia="SimSun" w:cs="SimSun"/>
          <w:color w:val="000000"/>
          <w:sz w:val="24"/>
        </w:rPr>
        <w:t xml:space="preserve">（北京时间）。</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谈判公告及谈判文件公告期限为自本公告发布之日起3个工作日。</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技术支持电话：0523-87633965、0523-86897512</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客服QQ：709339244、1195486789</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七、本次谈判联系方式</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300" w:right="0" w:hanging="300"/>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名 称：</w:t>
      </w:r>
      <w:r>
        <w:rPr>
          <w:rFonts w:ascii="SimSun" w:hAnsi="SimSun" w:eastAsia="SimSun" w:cs="SimSun"/>
          <w:color w:val="000000"/>
          <w:sz w:val="24"/>
          <w:szCs w:val="24"/>
          <w:u w:val="single"/>
        </w:rPr>
        <w:t xml:space="preserve">泰州市海陵区人民政府城北</w:t>
      </w:r>
      <w:r>
        <w:rPr>
          <w:rFonts w:ascii="SimSun" w:hAnsi="SimSun" w:eastAsia="SimSun" w:cs="SimSun"/>
          <w:color w:val="000000"/>
          <w:sz w:val="24"/>
          <w:szCs w:val="24"/>
          <w:u w:val="single"/>
        </w:rPr>
        <w:t xml:space="preserve">街道办事处</w:t>
      </w:r>
      <w:r>
        <w:rPr>
          <w:rFonts w:ascii="SimSun" w:hAnsi="SimSun" w:eastAsia="SimSun" w:cs="SimSun"/>
          <w:color w:val="000000"/>
          <w:sz w:val="24"/>
          <w:szCs w:val="24"/>
          <w:u w:val="single"/>
        </w:rPr>
      </w:r>
      <w:r/>
    </w:p>
    <w:p>
      <w:pPr>
        <w:ind w:left="300" w:right="0" w:hanging="300"/>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rPr>
          <w:rFonts w:ascii="SimSun" w:hAnsi="SimSun" w:eastAsia="SimSun" w:cs="SimSun"/>
          <w:color w:val="000000"/>
          <w:sz w:val="24"/>
          <w:szCs w:val="24"/>
          <w:u w:val="single"/>
        </w:rPr>
        <w:t xml:space="preserve">泰州市</w:t>
      </w:r>
      <w:r>
        <w:rPr>
          <w:rFonts w:ascii="SimSun" w:hAnsi="SimSun" w:eastAsia="SimSun" w:cs="SimSun"/>
          <w:color w:val="000000"/>
          <w:sz w:val="24"/>
          <w:szCs w:val="24"/>
          <w:u w:val="single"/>
        </w:rPr>
        <w:t xml:space="preserve">青年北路353号</w:t>
      </w:r>
      <w:r>
        <w:rPr>
          <w:rFonts w:ascii="SimSun" w:hAnsi="SimSun" w:eastAsia="SimSun" w:cs="SimSun"/>
          <w:color w:val="000000"/>
          <w:sz w:val="24"/>
          <w:szCs w:val="24"/>
          <w:u w:val="single"/>
        </w:rPr>
      </w:r>
      <w:r/>
    </w:p>
    <w:p>
      <w:pPr>
        <w:ind w:left="300" w:right="0" w:hanging="300"/>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联系人：</w:t>
      </w:r>
      <w:r>
        <w:rPr>
          <w:rFonts w:ascii="SimSun" w:hAnsi="SimSun" w:eastAsia="SimSun" w:cs="SimSun"/>
          <w:color w:val="000000"/>
          <w:sz w:val="24"/>
          <w:szCs w:val="24"/>
          <w:u w:val="single"/>
        </w:rPr>
        <w:t xml:space="preserve">宗先生</w:t>
      </w:r>
      <w:r/>
    </w:p>
    <w:p>
      <w:pPr>
        <w:ind w:left="300" w:right="0" w:hanging="300"/>
        <w:spacing w:before="0" w:after="0" w:line="360" w:lineRule="auto"/>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联系方式：</w:t>
      </w:r>
      <w:r>
        <w:rPr>
          <w:rFonts w:ascii="SimSun" w:hAnsi="SimSun" w:eastAsia="SimSun" w:cs="SimSun"/>
          <w:color w:val="000000"/>
          <w:sz w:val="24"/>
          <w:szCs w:val="24"/>
          <w:u w:val="single"/>
        </w:rPr>
        <w:t xml:space="preserve">0523-80828100</w:t>
      </w:r>
      <w:r>
        <w:rPr>
          <w:rFonts w:ascii="SimSun" w:hAnsi="SimSun" w:eastAsia="SimSun" w:cs="SimSun"/>
          <w:color w:val="000000"/>
          <w:sz w:val="24"/>
          <w:szCs w:val="24"/>
          <w:u w:val="single"/>
        </w:rPr>
      </w:r>
      <w:r/>
    </w:p>
    <w:p>
      <w:pPr>
        <w:ind w:left="300" w:right="0" w:hanging="30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2.泰州市海陵区政务服务中心信息</w:t>
      </w:r>
      <w:r/>
    </w:p>
    <w:p>
      <w:pPr>
        <w:ind w:left="300" w:right="0" w:hanging="30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　址：</w:t>
      </w:r>
      <w:r>
        <w:rPr>
          <w:rFonts w:ascii="SimSun" w:hAnsi="SimSun" w:eastAsia="SimSun" w:cs="SimSun"/>
          <w:color w:val="000000"/>
          <w:sz w:val="24"/>
          <w:u w:val="single"/>
        </w:rPr>
        <w:t xml:space="preserve">泰州市海陵区沈毅中学（海陵区政务服务中心临时办事点）</w:t>
      </w:r>
      <w:r/>
    </w:p>
    <w:p>
      <w:pPr>
        <w:ind w:left="300" w:right="0" w:hanging="30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联系人：</w:t>
      </w:r>
      <w:r>
        <w:rPr>
          <w:rFonts w:ascii="SimSun" w:hAnsi="SimSun" w:eastAsia="SimSun" w:cs="SimSun"/>
          <w:color w:val="000000"/>
          <w:sz w:val="24"/>
          <w:u w:val="single"/>
        </w:rPr>
        <w:t xml:space="preserve">     阚女士        </w:t>
      </w:r>
      <w:r>
        <w:rPr>
          <w:rFonts w:ascii="SimSun" w:hAnsi="SimSun" w:eastAsia="SimSun" w:cs="SimSun"/>
          <w:color w:val="000000"/>
          <w:sz w:val="24"/>
        </w:rPr>
        <w:t xml:space="preserve">            </w:t>
      </w:r>
      <w:r/>
    </w:p>
    <w:p>
      <w:pPr>
        <w:ind w:left="300" w:right="0" w:hanging="30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联系方式：</w:t>
      </w:r>
      <w:r>
        <w:rPr>
          <w:rFonts w:ascii="SimSun" w:hAnsi="SimSun" w:eastAsia="SimSun" w:cs="SimSun"/>
          <w:color w:val="000000"/>
          <w:sz w:val="24"/>
          <w:u w:val="single"/>
        </w:rPr>
        <w:t xml:space="preserve">  0523-86242503</w:t>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w:t>
      </w:r>
      <w:r>
        <w:rPr>
          <w:rFonts w:ascii="SimSun" w:hAnsi="SimSun" w:eastAsia="SimSun" w:cs="SimSun"/>
          <w:color w:val="000000"/>
          <w:sz w:val="24"/>
        </w:rPr>
        <w:t xml:space="preserve">33ce9.html。</w:t>
      </w:r>
      <w:r/>
    </w:p>
    <w:p>
      <w:pPr>
        <w:ind w:left="0" w:right="0" w:firstLine="482"/>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服务中心W3馆西南角）公共资源服务中心一楼大厅6号窗口办理，具体联系方式见《苏采云系统供应商操作手册》（以下简称《操作手册》））、进行注册并按《操作手册》要求制作、上传电子响应文件。</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2.有关本次谈判的事项若存在变动或修改，敬请及时关注泰州市海陵区政务服务中心在“江苏政府采购网”发布的更正公告。</w:t>
      </w:r>
      <w:r/>
    </w:p>
    <w:p>
      <w:pPr>
        <w:ind w:left="0" w:right="0" w:firstLine="48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本次谈判不收取谈判保证金。</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tabs>
          <w:tab w:val="left" w:pos="61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0"/>
        </w:rPr>
        <w:tab/>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SimHei" w:hAnsi="SimHei" w:eastAsia="SimHei" w:cs="SimHei"/>
          <w:b/>
          <w:color w:val="000000"/>
          <w:sz w:val="36"/>
        </w:rPr>
        <w:t xml:space="preserve">            第二章</w:t>
      </w:r>
      <w:r>
        <w:rPr>
          <w:rFonts w:ascii="SimSun" w:hAnsi="SimSun" w:eastAsia="SimSun" w:cs="SimSun"/>
          <w:b/>
          <w:color w:val="000000"/>
          <w:sz w:val="36"/>
        </w:rPr>
        <w:t xml:space="preserve"> </w:t>
      </w:r>
      <w:r>
        <w:rPr>
          <w:rFonts w:ascii="SimHei" w:hAnsi="SimHei" w:eastAsia="SimHei" w:cs="SimHei"/>
          <w:b/>
          <w:color w:val="000000"/>
          <w:sz w:val="36"/>
        </w:rPr>
        <w:t xml:space="preserve"> 供应商须知</w:t>
      </w:r>
      <w:r>
        <w:rPr>
          <w:rFonts w:ascii="Microsoft YaHei" w:hAnsi="Microsoft YaHei" w:eastAsia="Microsoft YaHei" w:cs="Microsoft YaHei"/>
          <w:sz w:val="24"/>
        </w:rPr>
      </w:r>
      <w:r/>
    </w:p>
    <w:p>
      <w:pPr>
        <w:ind w:left="0" w:right="0" w:firstLine="498"/>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1.1本次政府采购活动采取竞争性谈判(以下简称谈判)方式，本谈判文件仅适用于谈判公告中所述项目。</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2.1满足谈判公告中供应商资格要求的规定。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满足本谈判文件实质性要求和条件的规定。</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本次谈判及由此产生的合同受中华人民共和国有关的法律法规制约和保护。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、谈判费用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4.1供应商应自行承担所有与参加本次谈判有关的费用，无论谈判过程中的做法和结果如何，泰州市海陵区政务服务中心（以下简称服务中心）在任何情况下均无义务和责任承担这些费用。</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4.2本次谈判服务中心和采购人不收取标书工本费与成交服务费。</w:t>
      </w:r>
      <w:r/>
    </w:p>
    <w:p>
      <w:pPr>
        <w:ind w:left="0" w:right="0" w:firstLine="301"/>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5</w:t>
      </w:r>
      <w:r>
        <w:rPr>
          <w:rFonts w:ascii="SimHei" w:hAnsi="SimHei" w:eastAsia="SimHei" w:cs="SimHei"/>
          <w:b/>
          <w:color w:val="000000"/>
          <w:sz w:val="30"/>
        </w:rPr>
        <w:t xml:space="preserve">、</w:t>
      </w:r>
      <w:r>
        <w:rPr>
          <w:rFonts w:ascii="SimHei" w:hAnsi="SimHei" w:eastAsia="SimHei" w:cs="SimHei"/>
          <w:color w:val="000000"/>
          <w:sz w:val="28"/>
        </w:rPr>
        <w:t xml:space="preserve">谈判文件的约束力</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5.1供应商一旦参加本项目采购活动，即被认为接受了本谈判文件的规定和约束。</w:t>
      </w:r>
      <w:r/>
    </w:p>
    <w:p>
      <w:pPr>
        <w:ind w:left="0" w:right="0" w:firstLine="321"/>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二、谈判文件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、谈判文件构成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6.1谈判文件由以下部分组成：</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（1）谈判邀请</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请仔细检查谈判文件是否齐全，如有缺漏请立即与服务中心联系解决。</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、谈判文件的澄清</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任何要求对谈判文件进行澄清的供应商，应在谈判截止期3个工作日前按谈判公告中的通讯地址，以书面形式通知服务中心。</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、谈判文件的澄清和修改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在响应文件提交截止时间前，服务中心可以对谈判文件进行澄清和修改,</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澄清或者修改的内容作为谈判文件的组成部分。澄清或者修改的内容可能影响响应文件编制的，服务中心将在提交首次响应文件截止时间至少3个工作日前，在“江苏政府采购网”上发布书面更正公告形式通知所有获取谈判文件的供应商,</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更正公告内容将作为谈判文件的组成部分，并对供应商具有约束力。不足3个工作日的，服务中心将顺延提交首次响应文件截止时间。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8.2服务中心可以视采购项目的具体情况，组织供应商进行现场考察或召开谈判前答疑会，但不单独或分别组织只有一个供应商参加的现场考察和答疑会。</w:t>
      </w:r>
      <w:r/>
    </w:p>
    <w:p>
      <w:pPr>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9.1供应商提交的响应文件以及供应商与服务中心就有关谈判的所有来往通知、函件和文件均应使用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9.2除技术性能另有规定外，响应文件所使用的度量衡单位，均须采用国家法定计量单位。</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10.1供应商编写的响应文件应包括资格证明文件、实质性要求响应及偏离表、分项报价表、技术要求响应及偏离表、商务要求响应及偏离表、其他证明文件、谈判响应函等部分。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10.2如标书制作工具中格式和内容与“江苏政府采购网”发布的谈判文件不一致，请以“江苏政府采购网”发布的谈判文件为准。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、证明谈判响应标的符合谈判文件规定的文件</w:t>
      </w:r>
      <w:r/>
    </w:p>
    <w:p>
      <w:pPr>
        <w:ind w:left="0" w:right="0" w:firstLine="14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11.1供应商应按照谈判文件要求提交证明文件，证明其及谈判响应标的符合谈判文件规定。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11.2谈判文件对证明文件无明确形式要求的，证明文件可以以文字资料、图纸和数据等形式提交。</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12.1供应商应按照谈判文件规定格式填报分项报价表。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12.2谈判货币。响应文件中的单价和总价无特殊规定的采用人民币报价，以元为单位标注。谈判文件中另有规定的按规定执行。</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13.1供应商需对谈判文件中的技术要求与商务要求逐项作出响应或偏离，并说明原因。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13.2供应商需按照谈判文件要求，在响应文件中提供与技术要求和商务要求相关的证明材料。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14.1供应商需根据谈判文件要求提供有关售后服务的管理制度，售后服务机构的分布情况，售后服务人员的数量、素质、技术水平及售后服务的反应能力等。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14.2供应商需根据谈判文件要求提供培训计划。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14.3供应商需根据谈判文件要求提供谈判响应标的的主要组成部分、功能设计、实现思路及关键技术等。</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、谈判响应函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供应商应按照谈判文件中提供的格式完整、正确填写谈判响应函。</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、谈判有效期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谈判有效期为服务中心规定的提交响应文件截止之日后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。谈判有效期比规定短的将被视为非实质性响应谈判文件而予以拒绝。</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、谈判有效期的延长</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特殊情况下，服务中心于原谈判有效期满之前，可向供应商提出延长谈判有效期的要求。这种要求与答复均应采用书面形式。供应商可以拒绝服务中心的这一要求而放弃谈判，同意延长谈判有效期的供应商既不能要求也不允许修改其响应文件。受谈判有效期约束的所有权利与义务均延长至新的有效期。</w:t>
      </w:r>
      <w:r/>
    </w:p>
    <w:p>
      <w:pPr>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、电子谈判响应文件的递交</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ind w:left="0" w:right="0" w:firstLine="560"/>
        <w:jc w:val="both"/>
        <w:spacing w:before="12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19.1供应商上传电子响应文件的时间不得迟于谈判公告中规定的提交响应文件截止时间。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供应商应充分考虑到网络环境、网络带宽等风险因素，如因供应商自身原因造成的电子响应文件上传不成功的按照本谈判文件第二章第26.3.2条规定做无效响应处理。</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19.2服务中心可以按照规定，通过修改谈判文件酌情延长提交响应文件截止日期，在此情况下，供应商的所有权利和义务以及供应商受制的截止日期均应以延长后新的截止日期为准。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服务中心拒绝接收在其规定的提交响应文件截止时间后上传的任何电子响应文件。</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响应文件的撤回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21.1.2供应商撤回电子响应文件，则认为其不再参与本项目谈判活动。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响应文件的修改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21.4在提交响应文件截止时间至谈判文件中规定的谈判有效期满之间的这段时间内，供应商不得撤回其响应文件。</w:t>
      </w:r>
      <w:r/>
    </w:p>
    <w:p>
      <w:pPr>
        <w:ind w:left="0" w:right="0" w:firstLine="482"/>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22</w:t>
      </w:r>
      <w:r>
        <w:rPr>
          <w:rFonts w:ascii="SimHei" w:hAnsi="SimHei" w:eastAsia="SimHei" w:cs="SimHei"/>
          <w:color w:val="000000"/>
          <w:sz w:val="28"/>
        </w:rPr>
        <w:t xml:space="preserve">、响应文件解密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供应商应当按照《操作手册》规定，在苏采云系统规定的时间内对谈判响应文件进行解密。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、谈判小组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23.1服务中心将组织谈判小组对响应文件进行评审。谈判小组由采购人代表和有关技术、经济等方面的专家组成，且人员构成符合政府采购有关规定。</w:t>
      </w:r>
      <w:r/>
    </w:p>
    <w:p>
      <w:pPr>
        <w:ind w:left="0" w:right="0" w:firstLine="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23.2谈判小组独立工作，负责评审所有响应文件并确定成交侯选人。</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24.1谈判小组、采购人和服务中心工作人员、相关监督人员等与评审工作有关的人员，对评审情况以及在评审过程中获悉的国家秘密、商业秘密负有保密责任。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24.2在评审过程中，供应商不得以任何行为影响谈判评审过程，否则其响应文件将被作为无效响应文件。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24.3在项目评审期间，服务中心将设专门人员与供应商联系。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24.4服务中心和谈判小组不向未成交的供应商解释未成交原因，也不公布评审过程中的相关细节。</w:t>
      </w:r>
      <w:r/>
    </w:p>
    <w:p>
      <w:pPr>
        <w:ind w:left="0" w:right="0" w:firstLine="420"/>
        <w:jc w:val="both"/>
        <w:spacing w:before="145"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谈判小组并非对每个供应商都作澄清要求。</w:t>
      </w:r>
      <w:r/>
    </w:p>
    <w:p>
      <w:pPr>
        <w:ind w:left="142" w:right="0" w:hanging="14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25.3接到谈判小组澄清、说明和更正要求的供应商如未按规定做出澄清、说明和 更正，其风险由供应商自行承担。</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响应文件审查分为资格审查和符合性审查。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26.1.1资格审查：由谈判小组依据法律法规和谈判文件的规定，对响应文件中的资格证明文件进行审查，以确定供应商是否具备参加谈判的资格。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谈判小组在进行资格审查的同时，将在“信用中国”网站（www.creditchina.gov.cn）查询供应商的信用记录，以确定供应商是否具备谈判资格,查询结果留存并归档。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26.1.2符合性审查：依据谈判文件的规定，由谈判小组从响应文件的有效性、完整性和对谈判文件的响应程度进行审查，以确定是否对谈判文件的实质性要求作出响应。</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谈判文件规定的实质性要求存在负偏离，或者在实质上与谈判文件不一致，而且限制了合同中买方和服务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26.3未实质性响应谈判文件的情形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26.3.2供应商未按照谈判文件要求上传电子响应文件的。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26.3.3供应商同一分包提交两个（含两个）以上不同的响应文件或者最后报价的。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26.3.4供应商不具备谈判文件中规定资格要求的。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26.3.6不符合谈判文件中规定的实质性要求和条件的</w:t>
      </w:r>
      <w:r>
        <w:rPr>
          <w:rFonts w:ascii="SimSun" w:hAnsi="SimSun" w:eastAsia="SimSun" w:cs="SimSun"/>
          <w:i/>
          <w:color w:val="000000"/>
          <w:sz w:val="24"/>
          <w:u w:val="single"/>
        </w:rPr>
        <w:t xml:space="preserve">（本谈判文件中斜体且有下划线部分为实质性要求）。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26.3.10响应文件未按照谈判文件要求加盖CA电子公章的。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26.3.11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26.4未实质性响应谈判文件的响应文件按无效响应处理。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26.5如果响应文件实质上没有响应谈判文件的要求，谈判小组将予以拒绝，供应商不得通过修改或撤销不合要求的偏离或保留而使其成为实质性响应的文件。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26.6供应商在项目评审全过程中应保持通讯畅通，并安排专人与服务中心及谈判小组联系。</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、谈判程序及成交原则</w:t>
      </w:r>
      <w:r/>
    </w:p>
    <w:p>
      <w:pPr>
        <w:ind w:left="0" w:right="0" w:firstLine="478"/>
        <w:jc w:val="both"/>
        <w:spacing w:before="0" w:after="145"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27.1谈判程序</w:t>
      </w:r>
      <w:r/>
    </w:p>
    <w:p>
      <w:pPr>
        <w:ind w:left="0" w:right="0" w:firstLine="478"/>
        <w:jc w:val="both"/>
        <w:spacing w:before="0" w:after="145"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left="0" w:right="0" w:firstLine="478"/>
        <w:jc w:val="both"/>
        <w:spacing w:before="0" w:after="145"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left="0" w:right="0" w:firstLine="478"/>
        <w:jc w:val="both"/>
        <w:spacing w:before="0" w:after="145"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478"/>
        <w:jc w:val="both"/>
        <w:spacing w:before="0" w:after="145"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78"/>
        <w:jc w:val="both"/>
        <w:spacing w:before="0" w:after="145"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left="0" w:right="0" w:firstLine="478"/>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成交原则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供应商的最后报价如相同，则优先采购“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27.2.4采购人确定成交供应商后，服务中心将在“江苏政府采购网”发布成交结果公告，公告期限为1个工作日。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27.3政府采购政策功能落实（备注：如果该项目专门面向中小微型企业采购，则供应商不再享受任何价格扣除。）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本项目对小型和微型企业提供的服务给予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的扣除价格，用扣除后的价格参与评审。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②供应商需按照采购文件的要求提供相应的《小微企业声明函》。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号）文件规定自行填写。</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）残疾人福利单位价格扣除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①本项目对残疾人福利性单位视同小型、微型企业，给予</w:t>
      </w:r>
      <w:r>
        <w:rPr>
          <w:rFonts w:ascii="Times New Roman" w:hAnsi="Times New Roman" w:eastAsia="Times New Roman" w:cs="Times New Roma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）监狱和戒毒企业价格扣除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①本项目对监狱和戒毒企业（简称监狱企业）视同小型、微型企业，给予</w:t>
      </w:r>
      <w:r>
        <w:rPr>
          <w:rFonts w:ascii="Times New Roman" w:hAnsi="Times New Roman" w:eastAsia="Times New Roman" w:cs="Times New Roma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出具的属于监狱企业的证明文件。供应商如不提供上述证明文件，价格将不做相应扣除。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w:t>
      </w:r>
      <w:r>
        <w:rPr>
          <w:rFonts w:ascii="Times New Roman" w:hAnsi="Times New Roman" w:eastAsia="Times New Roman" w:cs="Times New Roman"/>
          <w:color w:val="000000"/>
          <w:sz w:val="24"/>
        </w:rPr>
        <w:t xml:space="preserve">[2014]68</w:t>
      </w:r>
      <w:r>
        <w:rPr>
          <w:rFonts w:ascii="SimSun" w:hAnsi="SimSun" w:eastAsia="SimSun" w:cs="SimSun"/>
          <w:color w:val="000000"/>
          <w:sz w:val="24"/>
        </w:rPr>
        <w:t xml:space="preserve">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）如本项目同意联合体参加谈判或同意分包履行合同的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以上的，给予联合体</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rPr>
        <w:t xml:space="preserve">的价格扣除，用扣除后的价格参与评审。</w:t>
      </w:r>
      <w:r>
        <w:rPr>
          <w:rFonts w:ascii="Times New Roman" w:hAnsi="Times New Roman" w:eastAsia="Times New Roman" w:cs="Times New Roma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）联合体各方均为小型、微型企业（残疾人福利单位、监狱企业）的，联合体享受</w:t>
      </w:r>
      <w:r>
        <w:rPr>
          <w:rFonts w:ascii="Times New Roman" w:hAnsi="Times New Roman" w:eastAsia="Times New Roman" w:cs="Times New Roma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78"/>
        <w:jc w:val="both"/>
        <w:spacing w:before="0" w:after="145"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27.4采购活动终止的情况</w:t>
      </w:r>
      <w:r/>
    </w:p>
    <w:p>
      <w:pPr>
        <w:ind w:left="0" w:right="0" w:firstLine="360"/>
        <w:jc w:val="both"/>
        <w:spacing w:before="0" w:after="145"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出现下列情形之一的，本次竞争性谈判采购活动将被终止：</w:t>
      </w:r>
      <w:r/>
    </w:p>
    <w:p>
      <w:pPr>
        <w:ind w:left="0" w:right="0" w:firstLine="360"/>
        <w:jc w:val="both"/>
        <w:spacing w:before="0" w:after="145"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27.4.1因情况变化，不再符合规定的竞争性谈判采购方式适用情形的。</w:t>
      </w:r>
      <w:r/>
    </w:p>
    <w:p>
      <w:pPr>
        <w:ind w:left="0" w:right="0" w:firstLine="360"/>
        <w:jc w:val="both"/>
        <w:spacing w:before="0" w:after="145"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27.4.2出现影响采购公正的违法、违规行为的。</w:t>
      </w:r>
      <w:r/>
    </w:p>
    <w:p>
      <w:pPr>
        <w:ind w:left="0" w:right="0" w:firstLine="360"/>
        <w:jc w:val="both"/>
        <w:spacing w:before="0" w:after="145"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27.4.3在采购过程中符合要求的供应商或者最后报价未超过采购预算的供应商不足3家的。</w:t>
      </w:r>
      <w:r/>
    </w:p>
    <w:p>
      <w:pPr>
        <w:ind w:left="0" w:right="0" w:firstLine="360"/>
        <w:jc w:val="both"/>
        <w:spacing w:before="0" w:after="145"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27.4.4在苏采云系统规定时间内成功解密电子响应文件的供应商不足3家的。</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28</w:t>
      </w:r>
      <w:r>
        <w:rPr>
          <w:rFonts w:ascii="SimHei" w:hAnsi="SimHei" w:eastAsia="SimHei" w:cs="SimHei"/>
          <w:color w:val="000000"/>
          <w:sz w:val="28"/>
        </w:rPr>
        <w:t xml:space="preserve">、成交供应商被取消成交资格情形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若有充分证据证明，成交供应商出现下列情况之一的，一经查实，将被取消成交资格：</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28.1提供虚假材料谋取成交的。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28.2与评审专家、采购人、其他供应商或者服务中心工作人员恶意串通的。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28.3向评审专家、采购人或服务中心工作人员行贿或者提供其他不正当利益的。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28.4恶意竞争，最后报价明显低于其自身合理成本且又无法提供证明的。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28.5不满足本谈判文件规定的实质性要求，但在评审过程中又未被谈判小组发现的。</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28.6成交后无正当理由拒不与采购人签订政府采购合同或者未按照谈判文件确定的事项签订政府采购合同的。</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28.7将政府采购合同转包的。</w:t>
      </w:r>
      <w:r/>
    </w:p>
    <w:p>
      <w:pPr>
        <w:ind w:left="0" w:right="0" w:firstLine="45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服务中心或采购人提出质疑。上述应知其权益受到损害之日，是指：</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29.2.1对可以质疑的采购文件提出质疑的，为收到采购文件之日或者采购文件公告期限届满之日。</w:t>
        <w:br/>
        <w:t xml:space="preserve">       29.2.2对采购过程提出质疑的，为各采购程序环节结束之日。</w:t>
        <w:br/>
        <w:t xml:space="preserve">       29.2.3对成交结果提出质疑的，为成交结果公告期限届满之日。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供应商应当在法定质疑期内一次性提出针对同一采购程序环节的质疑。供应商如在法定期限内对同一采购程序环节提出多次质疑的，服务中心、采购人将只对供应商第一次质疑作出答复。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采购方式、采购需求、供应商资格条件、评审方法与评审标准、合同文本的询问、质疑请向采购人提出，由采购人负责答复。供应商对其他事项的询问、质疑请向服务中心提出，由服务中心负责答复。</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采购人及服务中心只接收以纸质原件形式送达的质疑,建议供应商尽量通过邮寄方式提交质疑（采购人和服务中心不接受无快递运单号的快递）。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采购人质疑接收人及联系方式见本谈判文件第一章。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29.5.4未参加谈判活动的供应商或在谈判活动中自身权益未受到损害的供应商所提出的质疑。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29.5.5供应商组成联合体参加谈判，联合体中任何一方或多方未按要求签字、盖章、加盖公章的质疑。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服务中心有权依据政府采购的有关规定，报请政府采购监管部门对该供应商进行相应的行政处罚和记录该供应商的失信信息。</w:t>
      </w:r>
      <w:r/>
    </w:p>
    <w:p>
      <w:pPr>
        <w:ind w:left="0" w:right="0" w:firstLine="45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服务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31.l成交供应商应当在成交通知书发出之日起三十日内，按照谈判文件确定的事项与采购人签订政府采购合同。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31.2谈判文件、成交供应商的响应文件及谈判过程中有关澄清、承诺文件均应作为合同附件。</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600"/>
        <w:jc w:val="both"/>
        <w:spacing w:before="145"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145"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33.1成交供应商可凭政府采购合同办理融资贷款，详情请见江苏政府采购网“政采贷”专栏。</w:t>
      </w:r>
      <w:r/>
    </w:p>
    <w:p>
      <w:pPr>
        <w:ind w:left="0" w:right="0" w:firstLine="48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right="0" w:firstLine="601"/>
        <w:jc w:val="both"/>
        <w:spacing w:before="145" w:after="145"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34、落实《商品包装政府采购需求标准（试行）》、《快递包装政府采购需求标准（试行）》的相关政策，商品包装和快递包装应符合文件要求。</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35、按照《绿色数据中心政府采购需求标准(试行)》（财库[2023]7号）文件要求执行。</w:t>
      </w:r>
      <w:r>
        <w:rPr>
          <w:rFonts w:ascii="Times New Roman" w:hAnsi="Times New Roman" w:eastAsia="Times New Roman" w:cs="Times New Roman"/>
          <w:sz w:val="20"/>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rPr>
          <w:rFonts w:ascii="SimHei" w:hAnsi="SimHei" w:eastAsia="SimHei" w:cs="SimHei"/>
          <w:sz w:val="36"/>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880"/>
        <w:jc w:val="both"/>
        <w:spacing w:before="0" w:after="145"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w:t>
      </w:r>
      <w:r>
        <w:rPr>
          <w:rFonts w:ascii="SimSun" w:hAnsi="SimSun" w:eastAsia="SimSun" w:cs="SimSun"/>
          <w:color w:val="000000"/>
          <w:sz w:val="36"/>
        </w:rPr>
        <w:t xml:space="preserve"> </w:t>
      </w:r>
      <w:r>
        <w:rPr>
          <w:rFonts w:ascii="SimHei" w:hAnsi="SimHei" w:eastAsia="SimHei" w:cs="SimHei"/>
          <w:color w:val="000000"/>
          <w:sz w:val="36"/>
        </w:rPr>
        <w:t xml:space="preserve"> 合同文本</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以下为成交后签定本项目合同的通用条款，成交供应商不得提出实质性的修改。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(请采购人按照《政府采购需求管理办法》第二十三条的规定完善合同文本。)</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海陵区政府采购合同（合同编号）</w:t>
      </w:r>
      <w:r/>
    </w:p>
    <w:p>
      <w:pPr>
        <w:ind w:left="0" w:right="0" w:firstLine="0"/>
        <w:jc w:val="center"/>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项目编号：</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甲、乙双方根据泰州市海陵区政务服务中心</w:t>
      </w:r>
      <w:r>
        <w:rPr>
          <w:rFonts w:ascii="SimSun" w:hAnsi="SimSun" w:eastAsia="SimSun" w:cs="SimSun"/>
          <w:color w:val="000000"/>
          <w:sz w:val="24"/>
          <w:u w:val="single"/>
        </w:rPr>
        <w:t xml:space="preserve">        </w:t>
      </w:r>
      <w:r>
        <w:rPr>
          <w:rFonts w:ascii="SimSun" w:hAnsi="SimSun" w:eastAsia="SimSun" w:cs="SimSun"/>
          <w:color w:val="000000"/>
          <w:sz w:val="24"/>
        </w:rPr>
        <w:t xml:space="preserve">项目竞争性谈判的结果，签署本合同。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1.1标的名称：</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1.3标的数量（规模）：</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1.4履行时间（期限）：</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1.5履行地点：</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2.1本合同金额为（大写）：____________________________________圆（_______________元）人民币或其他币种。</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3.1乙方应按谈判文件规定的时间向甲方提供与合同标的有关的技术资料。</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5.1乙方保证所交付的合同标的的所有权完全属于乙方且无任何抵押、查封等产权瑕疵。</w:t>
      </w:r>
      <w:r/>
    </w:p>
    <w:p>
      <w:pPr>
        <w:ind w:left="410" w:right="0" w:hanging="4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成交后供应商须缴纳成交金额的10％作为履约保证金。履约保证金的有效期为该项目服务期满为止，采购人应在服务期满后10工作日内原路退还履约保证金。如采购人无正当理由逾期退还履约保证金，每逾期1天采购人向供应商偿付欠款总额的千分之五(滞纳金)。如供应商未能履行合同规定的义务，采购人有权从履约保证金中取得补偿。履约保证金扣除采购人应得的补偿后的余额在有效期满后10工作日内原路退还给供应商，本项目支持鼓励使用履约保函。</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签订后，甲方支付合同总价的10％作为预付款，乙方按照合同约定时间进场提供服务。剩余物业服务费由采购人核算支付金额后每半年支付一次。对于满足合同约定支付条件的，采购人原则上应当自收到发票后10个工作日内将资金支付到合同约定的供应商账户。</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10.1甲方依法组织履约验收工作。</w:t>
      </w:r>
      <w:r/>
    </w:p>
    <w:p>
      <w:pPr>
        <w:ind w:left="600" w:right="0" w:hanging="60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10.3对于实际使用人和甲方分离的项目，甲方邀请实际使用人参与验收。</w:t>
      </w:r>
      <w:r/>
    </w:p>
    <w:p>
      <w:pPr>
        <w:ind w:left="600" w:right="0" w:hanging="60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567" w:right="0" w:hanging="567"/>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567" w:right="0" w:hanging="567"/>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566" w:right="0" w:hanging="566"/>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11.1甲方无正当理由拒绝接受乙方提供的合同标的的，甲方向乙方偿付拒绝接受合同价款总值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566" w:right="0" w:hanging="566"/>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528" w:right="0" w:hanging="52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528" w:right="0" w:hanging="528"/>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11.4乙方交付合同标的的标准不符合合同规定及谈判文件规定标准的，甲方有权拒绝接受合同标的，并可单方面解除合同。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566" w:right="0" w:hanging="566"/>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12.2不可抗力事件发生后，应立即通知对方，并寄送有关权威机构出具的证明。</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12.3不可抗力事件延续120天以上，双方应通过友好协商，确定是否继续履行合同。</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566" w:right="0" w:hanging="566"/>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14.1合同经双方法定代表人或授权委托代表人签字并加盖单位公章后生效。</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14.3本合同正本一式两份，具有同等法律效力，甲方、乙方各执一份。</w:t>
      </w:r>
      <w:r/>
    </w:p>
    <w:p>
      <w:pPr>
        <w:ind w:left="240" w:right="0" w:hanging="24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40" w:right="0" w:hanging="24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21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12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          签订日期：     年    月   日</w:t>
      </w:r>
      <w:r>
        <w:rPr>
          <w:rFonts w:ascii="SimHei" w:hAnsi="SimHei" w:eastAsia="SimHei" w:cs="SimHei"/>
          <w:color w:val="000000"/>
          <w:sz w:val="36"/>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120" w:after="12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采购需求</w:t>
      </w:r>
      <w:r>
        <w:rPr>
          <w:rFonts w:ascii="SimSun" w:hAnsi="SimSun" w:eastAsia="SimSun" w:cs="SimSun"/>
          <w:b/>
          <w:color w:val="000000"/>
          <w:sz w:val="24"/>
        </w:rPr>
        <w:t xml:space="preserve"> </w:t>
      </w:r>
      <w:r>
        <w:rPr>
          <w:rFonts w:ascii="SimHei" w:hAnsi="SimHei" w:eastAsia="SimHei" w:cs="SimHei"/>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8"/>
        </w:rPr>
        <w:t xml:space="preserve">  一、详尽的技术和服务要求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泰州市海陵区人民政府城北街道办事处办公大楼、老街道办事处辅二楼、城北街道残联办公场所等的保洁卫生工作、大院安保（含门卫管理和车辆引导管理）等工作。总建筑面积约7400㎡。</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（二）服务期限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合同签订后1年，供应商在合同签订后3天内组织人员进场提供服务，此时间内供应商用于组织人员，培训等相关事宜。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（三）服务内容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（1）服务区域内公共区域、庭院、公共设施、领导办公室、会议室、接待室、卫生间、茶水间等区域的卫生保洁。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（2）服务区域内公共秩序维护、车辆秩序管理、人员进出管理，报刊、邮件、信函收发，进出门物品管理安全检查、安全巡视检查等工作。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（3）负责服务区域内水电费缴纳、物资保管分发、办公区域内办公设备调整等工作。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（4）负责服务区域内供电、供水、照明、监控、消防等设备运行巡查等工作。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（5）定期负责服务区域内绿化养护工作。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（6）做好保密、防失窃工作，以及协助做好由采购人提出的其他临时性事务工作。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（四）服务的要求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供应商应从本项目实际出发，根据合同约定的管理服务范围和标准，设立专门的项目管理机构，配备符合要求的管理人员和各类服务人员，制定完整、有效的内部管理制度和日常服务运行管理制度等相关制度。</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卫生保洁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①室外区域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a.每天清扫广场、停车场、绿化带地面，每1小时巡视1次，发现脏物、废品应及时处理。对区域内各种设施进行抹尘和清洗，保持外围干净、整洁。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b.根据各种地面脏的程度要随时进行清洗。</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c.绿化带重点巡查，及时清扫果皮、废纸、杂物等垃圾，草坪、树木及时浇水、施肥，保持生长茂盛，无草荒，无病虫害，无人为损害。</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d.及时收集各类垃圾，堆放在指定地点。清运时密封装置，确保无飘洒和漏水现象。及时清洗垃圾筒筒身，更换垃圾袋，保持干净、无异味、无满溢，每周使用消毒剂进行彻底消毒，使蚊蝇鼠虫无滋生源。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e.保持指示牌、标识、消防器材、电表箱、水表箱、外围灯柱、音箱等物体表面上的清洁，及时处理各种污迹。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f.每周清除一次卫生死角，水管处、下水道口、排水沟、水池、阴沟、等地方，要确保其内无杂物。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g.每天上午须在上班时间前完成当天第一次保洁，下午上班前完成公共部位的第二次保洁。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②门庭、大厅、走廊、电梯、楼梯</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a.每日循环清扫地面垃圾，清除台面、地面的污迹，每2小时巡查一次，每天水推地面至少一次，每月彻底清洗两次，平时发现污渍及时处理。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b.每日抹净门厅玻璃，每月彻底清洗一次，保持玻璃干净明亮，无手印、无水印，擦净门框、柱子等灰尘，每周彻底清洗一次。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c.每日抹净大厅内指示牌、告示牌、显示屏、接待台等，抹净各处灯罩、金属框、花架，使其无积尘，每周彻底清除沙发、茶几等各处卫生死角。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d.大厅各处金属包边、告示牌支架等，用金属清洁保养剂擦亮，保持无手印、无氧化痕迹、无锈蚀，每日擦一次。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e.每日擦抹风口、灭火器，使其光亮照人。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f.用推尘布抹净块料楼地面，保持地面无脚印、无灰尘，视地面磨损情况进行晶面处理的保养维护，使其光亮照人。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g.抹净墙面的灰尘。垃圾不能满过筒身之际的2/3。每日清倒垃圾两次，及时更换垃圾袋，及时处理垃圾筒上面的痰迹，使其外表干净、光亮、无满溢垃圾现象，每周使用消毒剂进行彻底消毒。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h.对大厅、电梯厅及走廊地面视其磨损程度，进行处理的保养维护，使其干净，光亮照人。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每日清扫拖净电梯扶手轿厢地面，抹净内外壁，保持无手印、污渍、无灰尘。电梯地毯每周清洗，不得留有污渍、残留清洁剂等，水分要彻底吹干。电梯轿厢定期用金属清洁剂进行保养，减少氧化、锈蚀的程度，保持电梯干净光亮、整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j.每天至少擦抹检查两次大厅的盆栽植物、花槽，保持盆栽无烟头、纸屑等杂物，使其无尘、无垃圾。</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k.每日擦抹门庭、大厅正门，保持无灰尘、无污渍、无水迹。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L.擦净楼梯扶手，拖净楼梯，各眼见手及之处，经常抹尘，保持清洁。</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③会议室、接待室及相关办公室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每天清扫地面垃圾、擦抹桌椅、沙发、茶几等，擦净相关设施、设备，并定期消毒。大楼内严禁吸烟，如发现应立即劝阻，并及时清理烟灰。沙发、茶几每天清洁两次，地面每天清洁两次，平时发现污渍、痰渍、水迹等及时处理，每周彻底拖洗一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b.室内所有垃圾篓的垃圾不能超过2/3，无虫、无异味，及时运送至指定地点堆放。每天至少更换垃圾袋一次，每周全面清洁一次，每月彻底清洗一次。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c.用鸡毛掸扫去墙面灰尘，彻底清理室内墙壁、墙角、天花、风口等蜘蛛网，每周一次。平时随见随时清理，局部灰尘、污渍随时处理。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d.排气扇、照明设备等擦抹灰尘，每月一次。天花、风口、喇叭出口每月清洁两次，平时发现日光灯不亮、闪烁和损坏及时报告，及时清除拆装时留下的污迹。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f.每天清理电源开关、插座，抹净上面污渍和灰尘。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g.皮、布沙发每天清洁一次，不得留有污渍、残留清洁剂等，水分要彻底吹干。</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 公共部位窗户玻璃随时保洁，平时发现手印、污渍及时擦净。</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i.平时对地面痰迹、口香糖等及时进行清除，拖洗地面后及时抹净地角线、墙角上的污迹、水迹、清理卫生死角。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j.门、门框每天擦抹一次，不锈钢门每天擦抹两次，每半年上不锈钢护理剂一次，防火门、玻璃门每天擦抹两次。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k.桌椅、窗帘、书橱、讲台、等其他设施每天擦抹一次，保持清洁、摆放整齐。</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④洗手间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a.拖洗所有卫生间地面，抹净洁具、门框、墙身，每天循环多次，保持无灰尘、无垃圾、无异味，无手脚印、无污渍等。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洗手间隔板、纸盒每天擦抹一次。小便池、厕位、水池1小时冲洗1次，每天用洗液清洗一次。洁具每周用消毒剂消毒两次，整体卫生间每月一次全面消毒。洗手台每月抛光保养一次，镜面、台面、洗手盆每天清洁数次。上班时间巡视发现洗手间的污迹、水迹、积水、头发、手印、便迹、异味、报纸等应及时清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c.每周一次全面清洗墙面瓷砖，地面用清洁剂刷洗，天花板擦净，灯具、风口抹尘，保持干净，无污渍。卫生间的地面每天拖地数次，保持地面干燥。</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秩序维护</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出入管理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1）人员管理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①外来办事人员须电话联系相关部门同意后，凭本人有效证件办理登记手续进入；手续不全或接待部门不予接待的，禁止进入办公区。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②上访人员不得未经允许进入主楼办公区，禁止推销、散发广告，不明身份及衣冠不整等人员进入办公区。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③对不出示证件、不按规定登记，不听劝阻而强行闯入者，坚决不予入内，必要时通知其所在单位或公安机关进行处理。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④办公区域内不得滞留闲杂人员，保安对可疑人员应进行盘查，做好登记。</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2）物品管理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①进入办公区的物品必须符合国家卫生检疫标准和安全防范要求，并自觉接受门卫值班人员的检查登记，否则门卫值勤人员有权阻止进入。严禁携带易燃、易爆、有毒、有害及易挥发化学物品等危险物。</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②车辆进入办公区须按规定履行登记手续，须按门卫指引的路线行驶，停放在指定位置。</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③携带大件物品出门的，必须有相关部门签发的出门证，经门卫值勤人员核实确认后方可放行，否则门卫值勤人员视情节予以暂扣。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④施工人员携带物品出办公区必须有相关部门开据的证明和清单，经核实后放行。如有疑问可作进一步盘查，必要时联系相关部门处理。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3）车辆出入管理标准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①本单位工作人员车辆录入系统直接进入办公区域。</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②外来办事人员在有车位情况下方可进入，有序停放，无车位时一律外停。</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③工作日期间，每天上班前后半小时内在院区内引导机关车辆按指定位置有序停放，停放时车头车尾朝向应保持一致，间距适中。</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4)形象保安</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①立岗要求。立岗时间：上下班时间，其余时段，听从甲方安排。</w:t>
      </w:r>
      <w:r/>
    </w:p>
    <w:p>
      <w:pPr>
        <w:ind w:left="0" w:right="0" w:firstLine="47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巡逻标准。根据规定的巡逻时间、路线进行巡逻检查，每日8：30至18：00,进行不定期巡逻，对重点区域加强巡逻，每日20：00至次日6：00,每小时至少巡视1次，节假日增加巡逻2次，着装规范整齐，发现问题应及时果断处置，并迅速上报，巡逻记录登记完整，清楚细致。</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（3）设施设备巡查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①对服务区域范围内的公共设施、水电等的日常巡查并做好记录（电梯、消防、智能化系统的维保及年检费用由采购人负责，供应商与维保单位进行日常工作的对接，其维保及维修由采购人负责）。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②供应商每半月检查1次房屋部位的使用状况，需要维修的及时报告采购人。雨季加强巡查的次数，及时检查有无漏雨渗水的情况。</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（4）档案资料管理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有关的档案和资料的管理。档案和资料的管理包括:安全管理记录档案、清洁卫生管理档案、安全监控记录、水电检查维修记录、人事管理，以及具体的管理方案等。供应商必须运用计算机管理，所有档案要求做到保存完整，管理完善，交接手续完备，检索方便准确。</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建立健全管理制度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根据办公楼的具体情况，受托单位应制定详细的内部管理制度、日常服务的运作管理制度等相关制度。</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①管理员工行为规范；</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②管理人员工作职责；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③保洁管理制度和保洁人员工作职责；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④管理人员、操作人员考核细则（百分考核）；</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⑤考核奖惩制度；</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⑥其他。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（五）人员配置的最低要求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供应商配备人员要求如下：工作日期间每天不少于5人。</w:t>
      </w:r>
      <w:r/>
    </w:p>
    <w:p>
      <w:pPr>
        <w:ind w:lef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val="0"/>
          <w:bCs w:val="0"/>
          <w:i w:val="0"/>
          <w:iCs w:val="0"/>
          <w:color w:val="000000"/>
          <w:sz w:val="24"/>
          <w:u w:val="none"/>
        </w:rPr>
        <w:t xml:space="preserve">    </w:t>
      </w:r>
      <w:r>
        <w:rPr>
          <w:rFonts w:ascii="SimSun" w:hAnsi="SimSun" w:eastAsia="SimSun" w:cs="SimSun"/>
          <w:b/>
          <w:i/>
          <w:color w:val="000000"/>
          <w:sz w:val="24"/>
          <w:u w:val="single"/>
        </w:rPr>
        <w:t xml:space="preserve">（1）保安人员2名，男性，年龄在55周岁（含）以下，有较强的管理能力和工作经验，须经过采购人面试合格后方可上岗。必须持有公安部门核发的保安员证。（须提供相关证书及服务人员近三个月任意一个月带二维码核验的社会保险缴纳证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保洁人员3名女性，年龄在50（不含）周岁以下，体检合格，有保洁工作经验，工作责任心强，对人和蔼，工作中做到文明操作，礼貌待人。（须提供体检合格的承诺书并加盖供应商公章、工作经验证明的承诺书并加盖供应商公章、服务人员近三个月任意一个月带二维码核验的社会保险缴纳证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（3）上述人员参与节假日应急会务活动等服务，大楼节能管理、台账记录和资料规范整理符合区机关事务局要求。</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（4）以上人员不能有违法犯罪、劳教等记录，必须是身体健康、具备岗位所需知识和技能的合法、合格劳动者若发现提供相关证明材料弄虚作假，一律作无效响应处理。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（5）服务期内按甲方规定的时间到岗服务，法定假日需安排人员每天值班24小时（具体工作由采购人安排）。</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（6）供应商须为其所有工作人员购买社会保险（覆盖服务期）；服务期内，未经采购人许可，不得变更上岗人员。</w:t>
      </w:r>
      <w:r/>
    </w:p>
    <w:p>
      <w:pPr>
        <w:ind w:left="0" w:right="0" w:firstLine="482"/>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7）人员工资、社会保险等费用须符合《中华人民共和国劳动法》以及劳动合同履行地2025年最新最低工资标准（泰州市人力资源和社会保障局关于调整全市最低工资标准的通知（泰人社发〔2024〕21号））、社会保险缴纳基数及比例等最新要求。最后报价时，若不符合上述要求，需在响应文件中提供项目具体成本测算等与报价合理性相关的书面说明及相关证明材料，对响应价格作出解释，由谈判小组依据专业经验对供应商报价合理性进行判断。响应供应商不提供书面说明、证明材料，或者提供的书面说明、证明材料不能证明其报价合理性的，谈判小组应当将其</w:t>
      </w:r>
      <w:r>
        <w:rPr>
          <w:rFonts w:ascii="SimSun" w:hAnsi="SimSun" w:eastAsia="SimSun" w:cs="SimSun"/>
          <w:b/>
          <w:i/>
          <w:color w:val="000000"/>
          <w:sz w:val="24"/>
          <w:u w:val="single"/>
        </w:rPr>
        <w:t xml:space="preserve">作为无效响应处理。如遇政策调整，自行承担。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（六）服务质量考核办法及细则</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1、管理考核办法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为进一步提高项目服务精细化管理和服务水平，努力打造特色鲜明、环境优美、功能完善、秩序井然的环境，提升业主服务感受，参照国家有关规定，特制定本考核办法。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（1）考核范围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服务区域范围。</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综合管理、秩序维护和车辆管理、卫生保洁、设施巡检、应急措施和疫情防控等六个方面。</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（3）管理质量标准及评分标准</w:t>
      </w:r>
      <w:r/>
    </w:p>
    <w:p>
      <w:pPr>
        <w:ind w:left="0" w:right="0" w:firstLine="480"/>
        <w:jc w:val="both"/>
        <w:spacing w:before="0" w:after="0" w:line="360" w:lineRule="auto"/>
        <w:tabs>
          <w:tab w:val="left" w:pos="71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详见《考核细则》。</w:t>
        <w:tab/>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（4）考核办法</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考核工作由招标方组织实施，考核小组由招标单位工作人员组成。考核小组定期或不定期组织检查考核，现场对每处扣分情况拍照留存、评判打分、做好详细记录，并在考核结束后归档。</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（5）考核结果应用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①采构人应按月对中标单位管理工作进行考核，首季的考核最终得分将作为合同履约的唯一依据。总评分100分为满分，80分为及格，首季得分如低于80分，采构人可立即终止合同。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②供应商考核得分在90分以上（含90分），采购人全额支付当季款。考核得分在80分以上（含80分），不足90分，应扣除10%当期款项。首季除外，全年供应商考核期内如有2次不合格的，采构人可立即终止合同。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在整个考核期间若出现由于供应商失误而直接导致恶性事件发生，或因供应商管理不善而直接加剧了事件后果的严重性，如火灾、盗窃、交通事故、聚众斗殴等，并导致人员伤亡或重大经济损失的，合同即时终止，并且供应商要承担相应的法律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④由于以上几点导致合同终止的，所涉及的补偿应由供应商负责。</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2、管理标准及考核细则（月度）</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26"/>
        <w:gridCol w:w="958"/>
        <w:gridCol w:w="992"/>
        <w:gridCol w:w="3704"/>
        <w:gridCol w:w="480"/>
        <w:gridCol w:w="480"/>
        <w:gridCol w:w="1572"/>
      </w:tblGrid>
      <w:tr>
        <w:trPr>
          <w:trHeight w:val="9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考核细则及要求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管理   （20分）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内务</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整理装备</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配备工作</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纪律文明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礼仪定岗</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定责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实际派驻的岗位人数符合合同要求；实行分工、定岗、定责管理。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center"/>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每发现一次不合格扣1分。每发现一次不合格扣1分。每发现一次不合格扣1分。每发现一次不合格扣1分。</w:t>
            </w:r>
            <w:r/>
          </w:p>
        </w:tc>
      </w:tr>
      <w:tr>
        <w:trPr>
          <w:trHeight w:val="9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着装整齐，精神饱满，言语礼貌、微笑服务；热情主动接待市民，主动问好。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按时到岗，无迟到、早退、脱岗、串岗、抽烟、吃零食、玩手机、扎堆聊天等违规现象。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按岗位需求合理配置装备。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管理间保持整洁，物品摆放整齐。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每发现一次不合格扣1分。</w:t>
            </w:r>
            <w:r/>
          </w:p>
        </w:tc>
      </w:tr>
      <w:tr>
        <w:trPr>
          <w:trHeight w:val="1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路面（道路、绿化、停车场等）干净整洁，无垃圾、杂草污渍、杂物、宠物粪便、积水、卫生死角等。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每发现一次不合格扣1分；被相关部门投诉经查实无误的扣5分；被上级领导点名批评、媒体曝光或创建办通报的扣10分。</w:t>
            </w:r>
            <w:r/>
          </w:p>
        </w:tc>
      </w:tr>
      <w:tr>
        <w:trPr>
          <w:trHeight w:val="16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门庭</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大厅</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走廊</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电梯</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落实专人负责，每日循环清扫不少于1次，每日清扫拖净电梯扶手轿厢地面，抹净内外壁，保持无手印、污渍、无灰尘。电梯地毯每周清洗，不得留有污渍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22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会议室门厅</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门窗</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楼梯及扶手</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空调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专人负责，每天清理打扫不少于1次，室内地面每天清洁1次，捡拾烟头棉签等小杂物不少于1次，保持干净、无积尘、无污渍、无垃圾。窗户每月不少于1次，保持无积尘、无污迹；定期对空调、天花板、内墙面等进行清洗保洁，保持整洁，每半年不少于1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10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厕所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落实专人负责，定时定期消毒、熏香除臭，做到厕所环境整洁，无乱堆杂物，无异味、无积水，有效控制蚊蝇，便池洁净，无污垢，无堵塞。</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照明灯具、洗手器具、镜子、挂衣钩、烘手器、冲水设备完好，无积灰、污物，窗纱无尘埃、破损，杜绝长明灯、长流水现象。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5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垃圾</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2.垃圾箱（筒）干净、整洁，无破损、无污物外漏，垃圾量不超过2/3，垃圾实施袋装、分类管理。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3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保洁工具和用品摆放整齐，定点隐蔽存放。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top"/>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每发现一次不合格扣1分；被上级领导批评的扣10分。</w:t>
            </w:r>
            <w:r/>
          </w:p>
        </w:tc>
      </w:tr>
      <w:tr>
        <w:trPr>
          <w:trHeight w:val="13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会议</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门卫室清洁整齐，有工作职责等管理制度、统一着装、无迟到、早退、工作时不擅离岗位、不聚众闲谈、做私活，不在岗位上倚靠、吸烟、玩手机。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每天专人负责报刊、邮件、信函收发。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1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坚持文明服务、礼貌用语，做好来访人员及办事人员的咨询引导服务，善于区分各类外来上访人员，并及时汇报。处理问题讲原则，讲方法，以理服人，保守内部机密。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各项文件、记录存放有序，记录填写清楚、准确，无漏填、漏项；做好详细交接班记录、值班记录等。能熟练掌握甲方工作人员的车辆等。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每月一次体能培训及安保技能培训；能熟练掌握报警监控、对讲、电梯等设施设备的操作程序。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区域内公共场地、专用停车场按划定车位泊车，无车辆违章停放在人行道、路口、消防通道；非机动车停入车棚整齐、有序，入口、路口、区内行车道进出路口畅通，行驶有序，上、下班车辆出入高峰期，有专人指挥交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8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秩序维护（28分）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应急</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措施消防</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设施照明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设施监控</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设施高低压配  电</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  施建筑</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值班人员严格执行通宵值班制度，认真按规定的作息时间履行巡视工作，巡视时认真检查各方位区域，做好巡查记录；如发现可疑人员须盘查，并做好笔录，嫌疑重大者及时与派出所联系或报警 ；认真做好值班记录。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top"/>
            <w:vMerge w:val="restart"/>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每发现一次不合格扣2分。发现问题未及时处理报修的，未及时报修，每发现一次不合格扣1分；被相关职能部门检查不合格一次扣5分；被上级领导点名批评、媒体曝光或创建办通报的扣10分。</w:t>
            </w:r>
            <w:r/>
          </w:p>
        </w:tc>
      </w:tr>
      <w:tr>
        <w:trPr>
          <w:trHeight w:val="5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建筑（构筑物）外观完好、无破损；墙面整洁、无污染。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定期巡查，发现异常及时报告，迅速采取处理措施；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监控设施完好，运行良好。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照明设施完好，无破损失修，保证夜间照明。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定期巡查消防器材是否完好，确保处于有效期内；及时熄灭烟头、遗留火种等，确保无明、暗火种隐患；每年不少于2次的消防应急演练。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应对区域内发生的突发事件和自然灾害，做到快速高效处理。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vMerge w:val="restart"/>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 （10分）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落实</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措施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严格落实疫情防控要求，做好口罩、消毒剂等防疫物资储备，垃圾桶和公共厕所每日消毒2次以上。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center"/>
            <w:vMerge w:val="restart"/>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每发现一次不合格扣2分。</w:t>
            </w:r>
            <w:r/>
          </w:p>
        </w:tc>
      </w:tr>
      <w:tr>
        <w:trPr>
          <w:trHeight w:val="208"/>
        </w:trPr>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4"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11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疫情</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防控</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3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04"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7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462"/>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1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备注:（1）发现问题直接扣分，各项扣分均不封顶。</w:t>
            </w:r>
            <w:r/>
          </w:p>
        </w:tc>
      </w:tr>
      <w:tr>
        <w:trPr>
          <w:trHeight w:val="453"/>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12"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（2）考核时发现上次考评所指出的问题未整改，确属责任单位职责范围内的失误，本次考评加倍扣分。</w:t>
            </w:r>
            <w:r/>
          </w:p>
        </w:tc>
      </w:tr>
    </w:tbl>
    <w:p>
      <w:pPr>
        <w:ind w:left="0" w:right="0" w:firstLine="482"/>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（六）商务要求</w:t>
      </w:r>
      <w:r/>
    </w:p>
    <w:p>
      <w:pPr>
        <w:ind w:left="0" w:right="0" w:firstLine="420"/>
        <w:jc w:val="both"/>
        <w:spacing w:before="0" w:after="0" w:line="360" w:lineRule="auto"/>
        <w:tabs>
          <w:tab w:val="left" w:pos="389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1.款项支付</w:t>
      </w:r>
      <w:r>
        <w:tab/>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合同签订后，甲方支付合同总价的10％作为预付款，乙方按照合同约定时间进场提供服务。剩余物业服务费由采购人核算支付金额后每半年支付一次。对于满足合同约定支付条件的，采购人原则上应当自收到发票后10个工作日内将资金支付到合同约定的供应商账户。</w:t>
      </w:r>
      <w:r>
        <w:rPr>
          <w:rFonts w:ascii="SimSun" w:hAnsi="SimSun" w:eastAsia="SimSun" w:cs="SimSun"/>
          <w:color w:val="000000"/>
          <w:sz w:val="24"/>
        </w:rPr>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 成交后供应商须缴纳成交金额的10％作为履约保证金。履约保证金的有效期为该项目服务期满为止，采购人应在服务期满后10工作日内原路退还履约保证金。如采购人无正当理由逾期退还履约保证金，每逾期1天采购人向供应商偿付欠款总额的千分之五(滞纳金)。如供应商未能履行合同规定的义务，采购人有权从履约保证金中取得补偿。履约保证金扣除采购人应得的补偿后的余额在有效期满后10工作日内原路退还给供应商，本项目支持鼓励使用履约保函。</w:t>
      </w:r>
      <w:r>
        <w:rPr>
          <w:rFonts w:ascii="SimSun" w:hAnsi="SimSun" w:eastAsia="SimSun" w:cs="SimSun"/>
          <w:color w:val="000000"/>
          <w:sz w:val="24"/>
        </w:rPr>
      </w:r>
      <w:r/>
    </w:p>
    <w:p>
      <w:pPr>
        <w:ind w:left="0" w:right="0" w:firstLine="41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3、物业管理费包括：</w:t>
      </w:r>
      <w:r/>
    </w:p>
    <w:p>
      <w:pPr>
        <w:ind w:left="0" w:right="0" w:firstLine="412"/>
        <w:jc w:val="both"/>
        <w:spacing w:before="0" w:after="0" w:line="360" w:lineRule="auto"/>
        <w:tabs>
          <w:tab w:val="left" w:pos="71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支付给员工的工资、福利、加班费、服装、食宿费用及其它相关费用等；供应商办公费用；购置、维修保养各类工具的费用；安全保卫使用的对讲机及其消耗品、安保用品等。非因采购人原因导致的各类事故的经济损失及赔偿费用；供应商应支付的各类税费；物业服务中的劳务费及消耗的易耗品费用（不含洗手间洗手液、擦手纸、卫生纸、垃圾袋及清洗液等易耗品）；购买物业管理责任险费用等。</w:t>
      </w:r>
      <w:r>
        <w:tab/>
      </w:r>
      <w:r/>
    </w:p>
    <w:p>
      <w:pPr>
        <w:ind w:left="0" w:right="0" w:firstLine="0"/>
        <w:jc w:val="both"/>
        <w:spacing w:before="12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SimSun" w:hAnsi="SimSun" w:eastAsia="SimSun" w:cs="SimSun"/>
          <w:b/>
          <w:color w:val="000000"/>
          <w:sz w:val="28"/>
        </w:rPr>
        <w:t xml:space="preserve">采购项目需落实的政府采购政策</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采购人应当落实政府采购政策，包括但不限于促进中小企业发展、促进残疾人就业、政府绿色采购政策等。</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6"/>
        <w:gridCol w:w="4535"/>
        <w:gridCol w:w="4003"/>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03"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2026年城北街道办事处物业管理服务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3" w:type="dxa"/>
            <w:vAlign w:val="center"/>
            <w:textDirection w:val="lrTb"/>
            <w:noWrap w:val="false"/>
          </w:tcPr>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w:t>
            </w:r>
            <w:r/>
          </w:p>
        </w:tc>
      </w:tr>
    </w:tbl>
    <w:p>
      <w:pPr>
        <w:ind w:left="0" w:right="0" w:firstLine="41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12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shd w:val="nil" w:color="auto"/>
        <w:rPr>
          <w:rFonts w:ascii="Times New Roman" w:hAnsi="Times New Roman" w:eastAsia="Times New Roman" w:cs="Times New Roman"/>
          <w:sz w:val="20"/>
          <w:szCs w:val="20"/>
        </w:rPr>
      </w:pPr>
      <w:r>
        <w:rPr>
          <w:rFonts w:ascii="Times New Roman" w:hAnsi="Times New Roman" w:eastAsia="Times New Roman" w:cs="Times New Roman"/>
          <w:sz w:val="20"/>
          <w:szCs w:val="20"/>
        </w:rPr>
        <w:br w:type="page" w:clear="all"/>
      </w:r>
      <w:r>
        <w:rPr>
          <w:rFonts w:ascii="Times New Roman" w:hAnsi="Times New Roman" w:eastAsia="Times New Roman" w:cs="Times New Roman"/>
          <w:sz w:val="20"/>
          <w:szCs w:val="20"/>
        </w:rPr>
      </w:r>
      <w:r/>
    </w:p>
    <w:p>
      <w:pPr>
        <w:ind w:left="0" w:right="0" w:firstLine="0"/>
        <w:spacing w:before="0" w:after="0" w:line="360" w:lineRule="auto"/>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r>
      <w:r>
        <w:rPr>
          <w:rFonts w:ascii="Times New Roman" w:hAnsi="Times New Roman" w:eastAsia="Times New Roman" w:cs="Times New Roman"/>
          <w:color w:val="000000"/>
          <w:sz w:val="20"/>
          <w:highlight w:val="none"/>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第五章</w:t>
      </w:r>
      <w:r>
        <w:rPr>
          <w:rFonts w:ascii="SimSun" w:hAnsi="SimSun" w:eastAsia="SimSun" w:cs="SimSun"/>
          <w:color w:val="000000"/>
          <w:sz w:val="36"/>
        </w:rPr>
        <w:t xml:space="preserve"> </w:t>
      </w:r>
      <w:r>
        <w:rPr>
          <w:rFonts w:ascii="SimHei" w:hAnsi="SimHei" w:eastAsia="SimHei" w:cs="SimHei"/>
          <w:color w:val="000000"/>
          <w:sz w:val="36"/>
        </w:rPr>
        <w:t xml:space="preserve"> 响应文件格式</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响 应  文 件</w:t>
      </w:r>
      <w:r/>
    </w:p>
    <w:p>
      <w:pPr>
        <w:ind w:left="0" w:right="0" w:firstLine="0"/>
        <w:jc w:val="center"/>
        <w:spacing w:before="0" w:after="0" w:line="360" w:lineRule="auto"/>
        <w:tabs>
          <w:tab w:val="left" w:pos="5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项 目 名 称：</w:t>
      </w:r>
      <w:r>
        <w:rPr>
          <w:rFonts w:ascii="SimSun" w:hAnsi="SimSun" w:eastAsia="SimSun" w:cs="SimSun"/>
          <w:b/>
          <w:color w:val="000000"/>
          <w:sz w:val="36"/>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项 目 编 号：</w:t>
      </w:r>
      <w:r>
        <w:rPr>
          <w:rFonts w:ascii="SimSun" w:hAnsi="SimSun" w:eastAsia="SimSun" w:cs="SimSun"/>
          <w:b/>
          <w:color w:val="000000"/>
          <w:sz w:val="36"/>
          <w:u w:val="single"/>
        </w:rPr>
        <w:t xml:space="preserve">              </w:t>
      </w:r>
      <w:r/>
    </w:p>
    <w:p>
      <w:pPr>
        <w:ind w:left="1276" w:right="0" w:hanging="1276"/>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w:t>
      </w:r>
      <w:r>
        <w:rPr>
          <w:rFonts w:ascii="SimSun" w:hAnsi="SimSun" w:eastAsia="SimSun" w:cs="SimSun"/>
          <w:b/>
          <w:color w:val="000000"/>
          <w:sz w:val="36"/>
          <w:u w:val="single"/>
        </w:rPr>
        <w:t xml:space="preserve">（加盖CA电子公章）</w:t>
      </w:r>
      <w:r>
        <w:rPr>
          <w:rFonts w:ascii="SimSun" w:hAnsi="SimSun" w:eastAsia="SimSun" w:cs="SimSun"/>
          <w:b/>
          <w:color w:val="000000"/>
          <w:sz w:val="36"/>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3253"/>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响应文件的组成</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一、基本目录</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1.分项报价表（格式见附件1）</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2.技术要求响应及偏离表（格式见附件2）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3.商务要求响应及偏离表（格式见附件3）</w:t>
      </w:r>
      <w:r/>
    </w:p>
    <w:p>
      <w:pPr>
        <w:ind w:left="0" w:right="0" w:firstLine="0"/>
        <w:jc w:val="both"/>
        <w:spacing w:before="145"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二、资格审查内容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1.法人或者其他组织的营业执照等证明文件，自然人的身份证明。</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2.上一年度的财务状况报告（供应商成立不满一年无需提供）。</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7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4.具备履行合同所必需的设备和专业技术能力的书面声明（格式见附件4）</w:t>
      </w:r>
      <w:r/>
    </w:p>
    <w:p>
      <w:pPr>
        <w:ind w:left="0" w:right="0" w:firstLine="47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5.参加政府采购活动前 3 年内在经营活动中没有重大违法记录的书面声明（格式见附件5）</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6.特定资格要求的证明文件（如果本项目对供应商做出特定资格要求的，必须提供）</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7.法人授权书（格式见附件6）</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8.响应函（格式见附件7）</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9.中小微企业声明函（如果本项目专门面向中小微型企业采购，则必须提供。格式见附件8）</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10.残疾人福利性单位声明函（如果本项目专门面向中小微型企业采购，供应商为残疾人福利性单位并提供本单位制造的货物，或者提供其他残疾人福利性单位制造的货物，则必须提供。格式见附件9）</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总备注：上述“资格审查内容”中1-5条、7、8条供应商必须在响应文件中提供相关材料，否则作无效响应处理；6、9、10条如谈判文件要求必须提供相关材料而未提供的，作无效响应处理。</w:t>
      </w:r>
      <w:r/>
    </w:p>
    <w:p>
      <w:pPr>
        <w:ind w:left="0" w:right="0" w:firstLine="0"/>
        <w:jc w:val="both"/>
        <w:spacing w:before="145"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三、符合性审查内容</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供应商必须对技术要求和商务要求中加斜体下划线的实质性要求逐条做出响应，并按照谈判文件要求提供证明材料，否则做无效响应处理。（格式见附件10）</w:t>
      </w:r>
      <w:r/>
    </w:p>
    <w:p>
      <w:pPr>
        <w:ind w:left="0" w:right="0" w:firstLine="0"/>
        <w:jc w:val="both"/>
        <w:spacing w:before="145"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四、价格扣除证明文件</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1.中小微企业声明函（格式见附件8）</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2.残疾人福利性单位声明函（格式见附件9）</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shd w:val="nil" w:color="auto"/>
      </w:pPr>
      <w:r>
        <w:br w:type="page" w:clear="all"/>
      </w:r>
      <w:r>
        <w:rPr>
          <w:rFonts w:ascii="Times New Roman" w:hAnsi="Times New Roman" w:eastAsia="Times New Roman" w:cs="Times New Roman"/>
          <w:color w:val="000000"/>
          <w:sz w:val="20"/>
        </w:rPr>
      </w:r>
      <w:r/>
    </w:p>
    <w:p>
      <w:pPr>
        <w:ind w:left="0" w:right="0" w:firstLine="0"/>
        <w:spacing w:before="0" w:after="240" w:line="85" w:lineRule="atLeast"/>
        <w:rPr>
          <w:rFonts w:ascii="SimSun" w:hAnsi="SimSun" w:eastAsia="SimSun" w:cs="SimSun"/>
          <w:b/>
          <w:bCs/>
          <w:color w:val="000000"/>
          <w:sz w:val="30"/>
          <w:szCs w:val="3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附件1                     </w:t>
      </w:r>
      <w:r>
        <w:rPr>
          <w:rFonts w:ascii="Times New Roman" w:hAnsi="Times New Roman" w:eastAsia="Times New Roman" w:cs="Times New Roman"/>
          <w:sz w:val="20"/>
        </w:rPr>
      </w:r>
      <w:r/>
    </w:p>
    <w:p>
      <w:pPr>
        <w:ind w:left="0" w:right="0" w:firstLine="0"/>
        <w:jc w:val="center"/>
        <w:spacing w:before="0" w:after="24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502"/>
        <w:gridCol w:w="1276"/>
        <w:gridCol w:w="425"/>
        <w:gridCol w:w="358"/>
        <w:gridCol w:w="701"/>
        <w:gridCol w:w="526"/>
        <w:gridCol w:w="526"/>
        <w:gridCol w:w="4703"/>
      </w:tblGrid>
      <w:tr>
        <w:trPr>
          <w:trHeight w:val="705"/>
        </w:trPr>
        <w:tc>
          <w:tcPr>
            <w:gridSpan w:val="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72"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城北街道物业费测算表</w:t>
            </w:r>
            <w:r/>
          </w:p>
        </w:tc>
      </w:tr>
      <w:tr>
        <w:trPr>
          <w:trHeight w:val="6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2"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人均</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月</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0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9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2" w:type="dxa"/>
            <w:vAlign w:val="center"/>
            <w:vMerge w:val="restart"/>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0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0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 w:type="dxa"/>
            <w:vAlign w:val="center"/>
            <w:textDirection w:val="lrTb"/>
            <w:noWrap/>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0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r>
      <w:tr>
        <w:trPr>
          <w:trHeight w:val="4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服装费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0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7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国假加班费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0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社会保险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0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0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税金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right"/>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03"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tcPr>
          <w:p>
            <w:pPr>
              <w:ind w:left="0" w:right="0" w:firstLine="0"/>
              <w:jc w:val="center"/>
              <w:spacing w:before="0" w:after="0" w:line="360" w:lineRule="auto"/>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78" w:type="dxa"/>
            <w:vAlign w:val="center"/>
            <w:vMerge w:val="restart"/>
            <w:textDirection w:val="lrTb"/>
            <w:noWrap/>
          </w:tcPr>
          <w:p>
            <w:pPr>
              <w:ind w:left="0" w:right="0" w:firstLine="0"/>
              <w:jc w:val="center"/>
              <w:spacing w:before="0" w:after="0" w:line="360" w:lineRule="auto"/>
              <w:rPr>
                <w:rFonts w:ascii="SimSun" w:hAnsi="SimSun" w:eastAsia="SimSun" w:cs="SimSun"/>
                <w:b/>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5" w:type="dxa"/>
            <w:vAlign w:val="center"/>
            <w:vMerge w:val="restart"/>
            <w:textDirection w:val="lrTb"/>
            <w:noWrap/>
          </w:tcPr>
          <w:p>
            <w:pPr>
              <w:ind w:left="0" w:right="0" w:firstLine="0"/>
              <w:jc w:val="center"/>
              <w:spacing w:before="0" w:after="0" w:line="360" w:lineRule="auto"/>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8" w:type="dxa"/>
            <w:vAlign w:val="center"/>
            <w:vMerge w:val="restart"/>
            <w:textDirection w:val="lrTb"/>
            <w:noWrap/>
          </w:tcPr>
          <w:p>
            <w:pPr>
              <w:ind w:left="0" w:right="0" w:firstLine="0"/>
              <w:jc w:val="center"/>
              <w:spacing w:before="0" w:after="0" w:line="360" w:lineRule="auto"/>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 w:type="dxa"/>
            <w:vAlign w:val="center"/>
            <w:vMerge w:val="restart"/>
            <w:textDirection w:val="lrTb"/>
            <w:noWrap/>
          </w:tcPr>
          <w:p>
            <w:pPr>
              <w:ind w:left="0" w:right="0" w:firstLine="0"/>
              <w:jc w:val="center"/>
              <w:spacing w:before="0" w:after="0" w:line="360" w:lineRule="auto"/>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vMerge w:val="restart"/>
            <w:textDirection w:val="lrTb"/>
            <w:noWrap/>
          </w:tcPr>
          <w:p>
            <w:pPr>
              <w:ind w:left="0" w:right="0" w:firstLine="0"/>
              <w:jc w:val="right"/>
              <w:spacing w:before="0" w:after="0" w:line="360" w:lineRule="auto"/>
              <w:rPr>
                <w:rFonts w:ascii="Times New Roman" w:hAnsi="Times New Roman" w:eastAsia="Times New Roman" w:cs="Times New Roman"/>
                <w:color w:val="000000"/>
                <w:sz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6" w:type="dxa"/>
            <w:vAlign w:val="center"/>
            <w:vMerge w:val="restart"/>
            <w:textDirection w:val="lrTb"/>
            <w:noWrap/>
          </w:tcPr>
          <w:p>
            <w:pPr>
              <w:ind w:left="0" w:right="0" w:firstLine="0"/>
              <w:jc w:val="center"/>
              <w:spacing w:before="0" w:after="0" w:line="360" w:lineRule="auto"/>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03" w:type="dxa"/>
            <w:vAlign w:val="center"/>
            <w:vMerge w:val="restart"/>
            <w:textDirection w:val="lrTb"/>
            <w:noWrap/>
          </w:tcPr>
          <w:p>
            <w:pPr>
              <w:ind w:left="0" w:right="0" w:firstLine="0"/>
              <w:jc w:val="center"/>
              <w:spacing w:before="0" w:after="0" w:line="360" w:lineRule="auto"/>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r>
            <w:r/>
          </w:p>
        </w:tc>
      </w:tr>
      <w:tr>
        <w:trPr>
          <w:trHeight w:val="460"/>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17"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一年小计</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（1）各项成本费用由供应商以元为单位按要求计算填列，小数点后保留两位。供应商对各分项费用进行报价时,计算公式中的各项数值均应先四舍五入并保留两位小数之后再相加或者相乘。</w:t>
      </w:r>
      <w:r/>
    </w:p>
    <w:p>
      <w:pPr>
        <w:ind w:left="0" w:right="0" w:firstLine="482"/>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（2）各项加班费须按上表要求计算，加班费计算须符合《中华人民共和国劳动法》，法定节假日加班按3倍计算。 </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（3）法定节假日：保安人员白班1人，夜班1人在岗（无法调休），注：国家全年法定假日13天。</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（4）法定节假日加班人员不得用外单位人员顶岗调休，均无法调休。</w:t>
      </w:r>
      <w:r/>
    </w:p>
    <w:p>
      <w:pPr>
        <w:ind w:left="0" w:right="0" w:firstLine="482"/>
        <w:jc w:val="both"/>
        <w:spacing w:before="0" w:after="20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（5）若未按上述要求报价的作无效报价。</w:t>
      </w:r>
      <w:r>
        <w:rPr>
          <w:sz w:val="21"/>
        </w:rPr>
      </w:r>
      <w:r/>
      <w:r>
        <w:rPr>
          <w:rFonts w:ascii="SimSun" w:hAnsi="SimSun" w:eastAsia="SimSun" w:cs="SimSun"/>
          <w:b/>
          <w:color w:val="000000"/>
          <w:sz w:val="30"/>
          <w:highlight w:val="none"/>
        </w:rPr>
        <w:br w:type="page" w:clear="all"/>
      </w:r>
      <w:r>
        <w:rPr>
          <w:rFonts w:ascii="SimSun" w:hAnsi="SimSun" w:eastAsia="SimSun" w:cs="SimSun"/>
          <w:b/>
          <w:color w:val="000000"/>
          <w:sz w:val="30"/>
          <w:highlight w:val="none"/>
        </w:rPr>
      </w:r>
      <w:r/>
    </w:p>
    <w:p>
      <w:pPr>
        <w:ind w:left="0" w:right="0" w:firstLine="0"/>
        <w:spacing w:before="0" w:after="290" w:line="360" w:lineRule="auto"/>
        <w:shd w:val="clear" w:color="ffffff" w:fill="ffffff"/>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附件2       </w:t>
      </w:r>
      <w:r/>
    </w:p>
    <w:p>
      <w:pPr>
        <w:ind w:left="0" w:right="0" w:firstLine="2711"/>
        <w:spacing w:before="0" w:after="29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1.供应商需对技术要求（未加斜体下划线的，非实质性内容）逐条做出明确响应。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2.如果谈判文件要求提供证明材料，供应商需将证明材料列于该表之下。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附件3       </w:t>
      </w:r>
      <w:r/>
    </w:p>
    <w:p>
      <w:pPr>
        <w:ind w:left="0" w:right="0" w:firstLine="2409"/>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1.供应商需对商务要求（未加斜体下划线的，非实质性内容）逐条做出明确响应。</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2.如果谈判文件要求提供证明材料，供应商需将证明材料列于该表之下。</w:t>
        <w:br w:type="page" w:clear="all"/>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r>
      <w:r/>
    </w:p>
    <w:p>
      <w:pPr>
        <w:ind w:left="0" w:right="0" w:firstLine="0"/>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附件4 </w:t>
      </w:r>
      <w:r/>
    </w:p>
    <w:p>
      <w:pPr>
        <w:ind w:left="0" w:right="0" w:firstLine="904"/>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91" w:right="0" w:hanging="991"/>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附件5</w:t>
      </w:r>
      <w:r/>
    </w:p>
    <w:p>
      <w:pPr>
        <w:ind w:left="389" w:right="0" w:hanging="38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年内在经营活动中没有重大违法记的</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书面声明</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声  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附件6                  </w:t>
      </w:r>
      <w:r/>
    </w:p>
    <w:p>
      <w:pPr>
        <w:ind w:left="0" w:right="0" w:firstLine="3534"/>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56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Times New Roman" w:hAnsi="Times New Roman" w:eastAsia="Times New Roman" w:cs="Times New Roman"/>
          <w:color w:val="000000"/>
          <w:sz w:val="28"/>
        </w:rPr>
        <w:t xml:space="preserve">____________</w:t>
      </w:r>
      <w:r>
        <w:rPr>
          <w:rFonts w:ascii="SimSun" w:hAnsi="SimSun" w:eastAsia="SimSun" w:cs="SimSun"/>
          <w:color w:val="000000"/>
          <w:sz w:val="28"/>
        </w:rPr>
        <w:t xml:space="preserve">（供应商名称）授权</w:t>
      </w:r>
      <w:r>
        <w:rPr>
          <w:rFonts w:ascii="Times New Roman" w:hAnsi="Times New Roman" w:eastAsia="Times New Roman" w:cs="Times New Roman"/>
          <w:color w:val="000000"/>
          <w:sz w:val="28"/>
        </w:rPr>
        <w:t xml:space="preserve">________________</w:t>
      </w:r>
      <w:r>
        <w:rPr>
          <w:rFonts w:ascii="SimSun" w:hAnsi="SimSun" w:eastAsia="SimSun" w:cs="SimSun"/>
          <w:color w:val="000000"/>
          <w:sz w:val="28"/>
        </w:rPr>
        <w:t xml:space="preserve">（被授权人的姓名）为我方就</w:t>
      </w:r>
      <w:r>
        <w:rPr>
          <w:rFonts w:ascii="Times New Roman" w:hAnsi="Times New Roman" w:eastAsia="Times New Roman" w:cs="Times New Roman"/>
          <w:color w:val="000000"/>
          <w:sz w:val="28"/>
        </w:rPr>
        <w:t xml:space="preserve">JSZC-</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rPr>
        <w:t xml:space="preserve">号项目采购活动的合法代理人，以本单位名义全权处理一切与该项目采购有关的事务。</w:t>
      </w:r>
      <w:r/>
    </w:p>
    <w:p>
      <w:pPr>
        <w:ind w:left="0" w:right="0" w:firstLine="56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w:t>
      </w:r>
      <w:r>
        <w:rPr>
          <w:rFonts w:ascii="Times New Roman" w:hAnsi="Times New Roman" w:eastAsia="Times New Roman" w:cs="Times New Roman"/>
          <w:color w:val="000000"/>
          <w:sz w:val="28"/>
        </w:rPr>
        <w:t xml:space="preserve">______</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____</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____</w:t>
      </w:r>
      <w:r>
        <w:rPr>
          <w:rFonts w:ascii="SimSun" w:hAnsi="SimSun" w:eastAsia="SimSun" w:cs="SimSun"/>
          <w:color w:val="000000"/>
          <w:sz w:val="28"/>
        </w:rPr>
        <w:t xml:space="preserve">日起生效，特此声明。</w:t>
      </w:r>
      <w:r/>
    </w:p>
    <w:p>
      <w:pPr>
        <w:ind w:left="0" w:right="0" w:firstLine="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被授权人身份证号码：</w:t>
      </w:r>
      <w:r>
        <w:rPr>
          <w:rFonts w:ascii="Times New Roman" w:hAnsi="Times New Roman" w:eastAsia="Times New Roman" w:cs="Times New Roman"/>
          <w:color w:val="000000"/>
          <w:sz w:val="28"/>
          <w:u w:val="single"/>
        </w:rPr>
        <w:t xml:space="preserve">                             </w:t>
      </w:r>
      <w:r/>
    </w:p>
    <w:p>
      <w:pPr>
        <w:ind w:left="0" w:right="0" w:firstLine="567"/>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被授权人联系电话：（手机）</w:t>
      </w:r>
      <w:r>
        <w:rPr>
          <w:rFonts w:ascii="Times New Roman" w:hAnsi="Times New Roman" w:eastAsia="Times New Roman" w:cs="Times New Roman"/>
          <w:color w:val="000000"/>
          <w:sz w:val="28"/>
          <w:u w:val="single"/>
        </w:rPr>
        <w:t xml:space="preserve">                         </w:t>
      </w:r>
      <w:r/>
    </w:p>
    <w:p>
      <w:pPr>
        <w:ind w:left="0" w:right="0" w:firstLine="567"/>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授权单位名称：</w:t>
      </w:r>
      <w:r>
        <w:rPr>
          <w:rFonts w:ascii="SimSun" w:hAnsi="SimSun" w:eastAsia="SimSun" w:cs="SimSun"/>
          <w:color w:val="000000"/>
          <w:sz w:val="28"/>
          <w:u w:val="single"/>
        </w:rPr>
        <w:t xml:space="preserve">（加盖</w:t>
      </w:r>
      <w:r>
        <w:rPr>
          <w:rFonts w:ascii="Times New Roman" w:hAnsi="Times New Roman" w:eastAsia="Times New Roman" w:cs="Times New Roman"/>
          <w:color w:val="000000"/>
          <w:sz w:val="28"/>
          <w:u w:val="single"/>
        </w:rPr>
        <w:t xml:space="preserve">CA</w:t>
      </w:r>
      <w:r>
        <w:rPr>
          <w:rFonts w:ascii="SimSun" w:hAnsi="SimSun" w:eastAsia="SimSun" w:cs="SimSun"/>
          <w:color w:val="000000"/>
          <w:sz w:val="28"/>
          <w:u w:val="single"/>
        </w:rPr>
        <w:t xml:space="preserve">电子公章）</w:t>
      </w:r>
      <w:r/>
    </w:p>
    <w:p>
      <w:pPr>
        <w:ind w:left="0" w:right="0" w:firstLine="56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rPr>
          <w:rFonts w:ascii="Times New Roman" w:hAnsi="Times New Roman" w:eastAsia="Times New Roman" w:cs="Times New Roman"/>
          <w:color w:val="000000"/>
          <w:sz w:val="28"/>
          <w:u w:val="single"/>
        </w:rPr>
        <w:t xml:space="preserve">                                        </w:t>
      </w:r>
      <w:r/>
    </w:p>
    <w:p>
      <w:pPr>
        <w:ind w:left="0" w:right="0" w:firstLine="560"/>
        <w:jc w:val="both"/>
        <w:spacing w:before="0" w:after="0" w:line="360" w:lineRule="auto"/>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Times New Roman" w:hAnsi="Times New Roman" w:eastAsia="Times New Roman" w:cs="Times New Roman"/>
          <w:color w:val="000000"/>
          <w:sz w:val="28"/>
          <w:u w:val="single"/>
        </w:rPr>
        <w:t xml:space="preserve">                                        </w:t>
      </w:r>
      <w:r/>
    </w:p>
    <w:p>
      <w:pPr>
        <w:shd w:val="nil" w:color="auto"/>
      </w:pPr>
      <w:r>
        <w:rPr>
          <w:rFonts w:ascii="SimSun" w:hAnsi="SimSun" w:eastAsia="SimSun" w:cs="SimSun"/>
          <w:b/>
          <w:color w:val="000000"/>
          <w:sz w:val="30"/>
          <w:highlight w:val="none"/>
        </w:rPr>
        <w:br w:type="page" w:clear="all"/>
      </w:r>
      <w:r>
        <w:rPr>
          <w:rFonts w:ascii="SimSun" w:hAnsi="SimSun" w:eastAsia="SimSun" w:cs="SimSun"/>
          <w:b/>
          <w:color w:val="000000"/>
          <w:sz w:val="30"/>
          <w:highlight w:val="none"/>
        </w:rPr>
      </w:r>
      <w:r/>
    </w:p>
    <w:p>
      <w:pPr>
        <w:ind w:left="0" w:right="0" w:firstLine="0"/>
        <w:spacing w:before="0" w:after="0" w:line="360" w:lineRule="auto"/>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附件7</w:t>
      </w:r>
      <w:r/>
    </w:p>
    <w:p>
      <w:pPr>
        <w:ind w:left="0" w:right="0" w:firstLine="3855"/>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谈判响应函</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致：泰州市海陵区政务服务中心</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    </w:t>
      </w:r>
      <w:r>
        <w:rPr>
          <w:rFonts w:ascii="SimSun" w:hAnsi="SimSun" w:eastAsia="SimSun" w:cs="SimSun"/>
          <w:color w:val="000000"/>
          <w:sz w:val="24"/>
        </w:rPr>
        <w:t xml:space="preserve">号谈判文件，正式授权下述签字人______(姓名)代表我方______________（供应商的名称），全权处理本次项目谈判的有关事宜。</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1.按谈判文件规定的各项要求，向买方提供所需货物、服务（包含与货物相关的服务及与服务相关的货物）。</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2.我们已详细审核全部谈判文件及其有效补充文件，我们知道必须放弃提出含糊不清或误解问题的权利。</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3.我们同意从规定的开标日期起遵循本响应文件，并在规定的谈判有效期期满之前均具有约束力。</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4.同意向贵方提供贵方可能另外要求的与谈判有关的任何证据或资料，并保证我方已提供和将要提供的文件是真实的、准确的。</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5.一旦我方成交,我方将根据谈判文件的规定，严格履行合同的责任和义务,并保证在谈判文件规定的时间完成项目，交付买方验收、使用。</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6.我方与本谈判有关的正式通讯地址为：</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期：____年____月____日</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rPr>
          <w:rFonts w:ascii="Microsoft YaHei" w:hAnsi="Microsoft YaHei" w:eastAsia="Microsoft YaHei" w:cs="Microsoft YaHei"/>
          <w:sz w:val="24"/>
        </w:rPr>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shd w:val="nil" w:color="auto"/>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r/>
    </w:p>
    <w:p>
      <w:pPr>
        <w:ind w:left="0" w:right="0" w:firstLine="0"/>
        <w:jc w:val="both"/>
        <w:spacing w:before="0" w:after="0" w:line="360" w:lineRule="auto"/>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附件8</w:t>
      </w:r>
      <w:r>
        <w:rPr>
          <w:rFonts w:ascii="SimSun" w:hAnsi="SimSun" w:eastAsia="SimSun" w:cs="SimSun"/>
          <w:b/>
          <w:color w:val="000000"/>
          <w:sz w:val="24"/>
        </w:rPr>
        <w:t xml:space="preserve"> </w:t>
      </w:r>
      <w:r/>
    </w:p>
    <w:p>
      <w:pPr>
        <w:ind w:left="0" w:right="0" w:firstLine="2108"/>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中小微企业声明函</w:t>
      </w:r>
      <w:r/>
    </w:p>
    <w:p>
      <w:pPr>
        <w:ind w:left="0" w:right="0" w:firstLine="2108"/>
        <w:jc w:val="both"/>
        <w:spacing w:before="0" w:after="145"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本公司（联合体）郑重声明，根据《政府采购促进中小企业发展管理办法》(财库[2020]46号)的规定，本公司（联合体）参加江苏省政府采购中心组织的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17"/>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17"/>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36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0" w:firstLine="54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3.供应商自行勾选承接企业的企业规模类型。</w:t>
        <w:br w:type="page" w:clear="all"/>
      </w:r>
      <w:r/>
    </w:p>
    <w:p>
      <w:pPr>
        <w:ind w:left="0" w:right="0" w:firstLine="480"/>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附件9 </w:t>
      </w:r>
      <w:r/>
    </w:p>
    <w:p>
      <w:pPr>
        <w:ind w:left="0" w:right="0" w:firstLine="1506"/>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残疾人福利性单位声明函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中国残疾人联合会关于促进残疾人就业政府采购政策的通知》（财库〔2017〕141号）的规定，本单位为符合条件的残疾人福利性单位，且本单位参加______单位的采购文件编号为JSZC-32</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624"/>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0" w:firstLine="480"/>
        <w:jc w:val="center"/>
        <w:spacing w:before="0" w:after="0" w:line="360" w:lineRule="auto"/>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br w:type="page" w:clear="all"/>
      </w:r>
      <w:r/>
      <w:r>
        <w:rPr>
          <w:rFonts w:ascii="Times New Roman" w:hAnsi="Times New Roman" w:eastAsia="Times New Roman" w:cs="Times New Roman"/>
          <w:color w:val="000000"/>
          <w:sz w:val="20"/>
        </w:rPr>
      </w:r>
      <w:r/>
      <w:r/>
    </w:p>
    <w:p>
      <w:pPr>
        <w:ind w:left="0" w:right="0" w:firstLine="0"/>
        <w:jc w:val="both"/>
        <w:spacing w:before="0" w:after="145"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附件10</w:t>
      </w:r>
      <w:r/>
    </w:p>
    <w:p>
      <w:pPr>
        <w:ind w:left="0" w:right="0" w:firstLine="1807"/>
        <w:jc w:val="both"/>
        <w:spacing w:before="0" w:after="29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实质性要求响应及偏离表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（加斜体下划线内容）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附件11-1证明材料1，证明材料2，……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1.供应商必须对技术要求和商务要求中的实质性要求</w:t>
      </w:r>
      <w:r>
        <w:rPr>
          <w:rFonts w:ascii="SimSun" w:hAnsi="SimSun" w:eastAsia="SimSun" w:cs="SimSun"/>
          <w:i/>
          <w:color w:val="000000"/>
          <w:sz w:val="24"/>
          <w:u w:val="single"/>
        </w:rPr>
        <w:t xml:space="preserve">（加斜体下划线内容）</w:t>
      </w:r>
      <w:r>
        <w:rPr>
          <w:rFonts w:ascii="SimSun" w:hAnsi="SimSun" w:eastAsia="SimSun" w:cs="SimSun"/>
          <w:color w:val="000000"/>
          <w:sz w:val="24"/>
        </w:rPr>
        <w:t xml:space="preserve">逐条做出明确响应，否则做无效响应处理。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2.如果谈判要求提供证明材料，供应商必须将证明材料列于该表之下。</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3.供应商未对实质性要求逐条作出明确响应的，或未按谈判文件要求提供证明材料的，该分包作无效响应处理。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Times New Roman" w:hAnsi="Times New Roman" w:eastAsia="Times New Roman" w:cs="Times New Roman"/>
          <w:color w:val="000000"/>
          <w:sz w:val="20"/>
        </w:rPr>
        <w:br w:type="page" w:clear="all"/>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质疑函范本</w:t>
      </w:r>
      <w:r/>
    </w:p>
    <w:p>
      <w:pPr>
        <w:ind w:left="0" w:right="0" w:firstLine="0"/>
        <w:jc w:val="both"/>
        <w:spacing w:before="29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60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spacing w:line="360" w:lineRule="auto"/>
      </w:p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libri">
    <w:panose1 w:val="020F0502020204030204"/>
  </w:font>
  <w:font w:name="FangSong">
    <w:panose1 w:val="02010609060101010101"/>
  </w:font>
  <w:font w:name="SimHei">
    <w:panose1 w:val="02010609060101010101"/>
  </w:font>
  <w:font w:name="Microsoft YaHei">
    <w:panose1 w:val="020B0503020204020204"/>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b/>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阚允文</cp:lastModifiedBy>
  <cp:revision>5</cp:revision>
  <dcterms:created xsi:type="dcterms:W3CDTF">2025-11-13T02:08:25Z</dcterms:created>
  <dcterms:modified xsi:type="dcterms:W3CDTF">2025-11-18T02:47:32Z</dcterms:modified>
</cp:coreProperties>
</file>